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F1AA" w14:textId="4DE9221D" w:rsidR="009D1FA5" w:rsidRPr="00D9512C" w:rsidRDefault="009D1FA5" w:rsidP="009D1F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k5re8ndfpwsz" w:colFirst="0" w:colLast="0"/>
      <w:bookmarkEnd w:id="0"/>
      <w:r w:rsidRPr="00CE6400">
        <w:rPr>
          <w:bCs/>
          <w:noProof/>
          <w:sz w:val="24"/>
          <w:szCs w:val="24"/>
        </w:rPr>
        <w:drawing>
          <wp:inline distT="114300" distB="114300" distL="114300" distR="114300" wp14:anchorId="70DC10E9" wp14:editId="4581B0E2">
            <wp:extent cx="5852160" cy="12700"/>
            <wp:effectExtent l="0" t="0" r="0" b="0"/>
            <wp:docPr id="718511994" name="Picture 71851199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11994" name="Picture 71851199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90AEA">
        <w:rPr>
          <w:noProof/>
        </w:rPr>
        <mc:AlternateContent>
          <mc:Choice Requires="wps">
            <w:drawing>
              <wp:anchor distT="0" distB="0" distL="114299" distR="114299" simplePos="0" relativeHeight="251658241" behindDoc="0" locked="0" layoutInCell="1" allowOverlap="1" wp14:anchorId="098CFD60" wp14:editId="03CE7F1E">
                <wp:simplePos x="0" y="0"/>
                <wp:positionH relativeFrom="column">
                  <wp:posOffset>12699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19050" b="6350"/>
                <wp:wrapNone/>
                <wp:docPr id="125921597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AE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1pt;margin-top:6pt;width:0;height:1pt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1068BBBC" w14:textId="45EECE9C" w:rsidR="009D1FA5" w:rsidRPr="00D9512C" w:rsidRDefault="009D1FA5" w:rsidP="7CD6D8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6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Title: </w:t>
      </w:r>
      <w:r w:rsidR="00D467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Covered</w:t>
      </w:r>
      <w:r w:rsidRPr="008B56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Employee Rights, Mandatory Disclosures, Reporting </w:t>
      </w:r>
      <w:r w:rsidR="478F5C3F" w:rsidRPr="008B56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Procedures, and</w:t>
      </w:r>
      <w:r w:rsidRPr="008B56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Follow-Up Actions</w:t>
      </w:r>
      <w:bookmarkStart w:id="1" w:name="_heading=h.5ud8lkhl3844"/>
      <w:bookmarkEnd w:id="1"/>
      <w:r w:rsidRPr="00D95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290AEA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6CCE478E" wp14:editId="23EF4771">
                <wp:simplePos x="0" y="0"/>
                <wp:positionH relativeFrom="column">
                  <wp:posOffset>12699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19050" b="6350"/>
                <wp:wrapNone/>
                <wp:docPr id="696511834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3A72" id="Straight Arrow Connector 1" o:spid="_x0000_s1026" type="#_x0000_t32" alt="&quot;&quot;" style="position:absolute;margin-left:1pt;margin-top:7pt;width:0;height: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  <w:r w:rsidRPr="00CE6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1CF6DEE2" w14:textId="77777777" w:rsidR="009D1FA5" w:rsidRPr="00D9512C" w:rsidRDefault="009D1FA5" w:rsidP="009D1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PURPOSE.</w:t>
      </w:r>
    </w:p>
    <w:p w14:paraId="45D157CC" w14:textId="30AE1268" w:rsidR="009D1FA5" w:rsidRPr="00D9512C" w:rsidRDefault="009D1FA5" w:rsidP="009D1FA5">
      <w:pPr>
        <w:spacing w:after="120" w:line="240" w:lineRule="auto"/>
      </w:pPr>
      <w:r w:rsidRPr="00D9512C">
        <w:rPr>
          <w:rFonts w:ascii="Times New Roman" w:eastAsia="Times New Roman" w:hAnsi="Times New Roman" w:cs="Times New Roman"/>
          <w:sz w:val="24"/>
          <w:szCs w:val="24"/>
        </w:rPr>
        <w:t xml:space="preserve">This policy describes the rights of every </w:t>
      </w:r>
      <w:r w:rsidR="008B4A65">
        <w:rPr>
          <w:rFonts w:ascii="Times New Roman" w:eastAsia="Times New Roman" w:hAnsi="Times New Roman" w:cs="Times New Roman"/>
          <w:sz w:val="24"/>
          <w:szCs w:val="24"/>
        </w:rPr>
        <w:t>covered</w:t>
      </w:r>
      <w:r w:rsidRPr="00D9512C">
        <w:rPr>
          <w:rFonts w:ascii="Times New Roman" w:eastAsia="Times New Roman" w:hAnsi="Times New Roman" w:cs="Times New Roman"/>
          <w:sz w:val="24"/>
          <w:szCs w:val="24"/>
        </w:rPr>
        <w:t xml:space="preserve"> employee, provides a framework detailing the process and procedure for reporting and </w:t>
      </w:r>
      <w:r w:rsidR="009C279C">
        <w:rPr>
          <w:rFonts w:ascii="Times New Roman" w:eastAsia="Times New Roman" w:hAnsi="Times New Roman" w:cs="Times New Roman"/>
          <w:sz w:val="24"/>
          <w:szCs w:val="24"/>
        </w:rPr>
        <w:t>acting on</w:t>
      </w:r>
      <w:r w:rsidRPr="00D9512C">
        <w:rPr>
          <w:rFonts w:ascii="Times New Roman" w:eastAsia="Times New Roman" w:hAnsi="Times New Roman" w:cs="Times New Roman"/>
          <w:sz w:val="24"/>
          <w:szCs w:val="24"/>
        </w:rPr>
        <w:t xml:space="preserve"> allegations of rights violations, and establishes the requirements for nonprofit agencies’ (NPAs’) mandatory disclosures to the Central Nonprofit Agencies (CNAs) and the U.S. AbilityOne Commission (Commission).</w:t>
      </w:r>
    </w:p>
    <w:p w14:paraId="0B2202D5" w14:textId="77777777" w:rsidR="009D1FA5" w:rsidRPr="00D9512C" w:rsidRDefault="009D1FA5" w:rsidP="009D1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APPLICABILITY.</w:t>
      </w:r>
    </w:p>
    <w:p w14:paraId="32D35110" w14:textId="77777777" w:rsidR="009D1FA5" w:rsidRPr="00D9512C" w:rsidRDefault="009D1FA5" w:rsidP="009D1F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sz w:val="24"/>
          <w:szCs w:val="24"/>
        </w:rPr>
        <w:t>This policy applies to all participating NPAs, designated CNAs, and the Commission.</w:t>
      </w:r>
    </w:p>
    <w:p w14:paraId="6FD9A8AD" w14:textId="77777777" w:rsidR="009D1FA5" w:rsidRPr="00D9512C" w:rsidRDefault="009D1FA5" w:rsidP="009D1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AUTHORITY</w:t>
      </w:r>
      <w:r w:rsidRPr="00D9512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C28FB33" w14:textId="77777777" w:rsidR="009D1FA5" w:rsidRPr="00D9512C" w:rsidRDefault="009D1FA5" w:rsidP="009D1FA5">
      <w:pPr>
        <w:widowControl w:val="0"/>
        <w:numPr>
          <w:ilvl w:val="1"/>
          <w:numId w:val="4"/>
        </w:numPr>
        <w:spacing w:after="120" w:line="240" w:lineRule="auto"/>
        <w:ind w:left="810" w:hanging="450"/>
        <w:rPr>
          <w:rFonts w:ascii="Times New Roman" w:eastAsia="Times New Roman" w:hAnsi="Times New Roman" w:cs="Times New Roman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sz w:val="24"/>
          <w:szCs w:val="24"/>
        </w:rPr>
        <w:t>41 U.S.C. §§ 8501-8506, Javits-Wagner-O’Day (JWOD) Act</w:t>
      </w:r>
    </w:p>
    <w:p w14:paraId="1B397ADE" w14:textId="77777777" w:rsidR="009D1FA5" w:rsidRPr="00D9512C" w:rsidRDefault="009D1FA5" w:rsidP="009D1FA5">
      <w:pPr>
        <w:widowControl w:val="0"/>
        <w:numPr>
          <w:ilvl w:val="1"/>
          <w:numId w:val="4"/>
        </w:numPr>
        <w:spacing w:after="120" w:line="240" w:lineRule="auto"/>
        <w:ind w:left="810" w:hanging="450"/>
        <w:rPr>
          <w:rFonts w:ascii="Times New Roman" w:eastAsia="Times New Roman" w:hAnsi="Times New Roman" w:cs="Times New Roman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sz w:val="24"/>
          <w:szCs w:val="24"/>
        </w:rPr>
        <w:t>41 CFR Chapter 51, Committee for Purchase From People Who Are Blind or Severely Disabled</w:t>
      </w:r>
    </w:p>
    <w:p w14:paraId="072B57FD" w14:textId="77777777" w:rsidR="009D1FA5" w:rsidRPr="00D9512C" w:rsidRDefault="009D1FA5" w:rsidP="009D1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sz w:val="24"/>
          <w:szCs w:val="24"/>
        </w:rPr>
      </w:pPr>
      <w:r w:rsidRPr="00D9512C">
        <w:rPr>
          <w:sz w:val="24"/>
          <w:szCs w:val="24"/>
        </w:rPr>
        <w:t xml:space="preserve">  </w:t>
      </w:r>
      <w:r w:rsidRPr="00D9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DEFINITIONS</w:t>
      </w:r>
      <w:r w:rsidRPr="00D9512C">
        <w:rPr>
          <w:rFonts w:ascii="Times New Roman" w:hAnsi="Times New Roman" w:cs="Times New Roman"/>
          <w:b/>
          <w:bCs/>
          <w:sz w:val="24"/>
          <w:szCs w:val="24"/>
        </w:rPr>
        <w:t xml:space="preserve"> AND ACRONYMS.</w:t>
      </w:r>
    </w:p>
    <w:p w14:paraId="24DB4760" w14:textId="77777777" w:rsidR="009D1FA5" w:rsidRPr="00D9512C" w:rsidRDefault="009D1FA5" w:rsidP="009D1FA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sz w:val="24"/>
          <w:szCs w:val="24"/>
        </w:rPr>
        <w:t>Definitions</w:t>
      </w:r>
      <w:r w:rsidRPr="00D9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abbreviations, and acronyms frequently used throughout this policy system are provided in Commission Policy 51.102, Definitions of Terms. </w:t>
      </w:r>
      <w:r w:rsidRPr="00D9512C">
        <w:rPr>
          <w:rFonts w:ascii="Times New Roman" w:eastAsia="Times New Roman" w:hAnsi="Times New Roman" w:cs="Times New Roman"/>
          <w:sz w:val="24"/>
          <w:szCs w:val="24"/>
        </w:rPr>
        <w:t>Terms unique to a specific subject matter are defined below.</w:t>
      </w:r>
    </w:p>
    <w:tbl>
      <w:tblPr>
        <w:tblW w:w="934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24"/>
        <w:gridCol w:w="6716"/>
      </w:tblGrid>
      <w:tr w:rsidR="009D1FA5" w:rsidRPr="00D9512C" w14:paraId="03BA5617" w14:textId="77777777">
        <w:tc>
          <w:tcPr>
            <w:tcW w:w="2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D1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E5C6" w14:textId="77777777" w:rsidR="009D1FA5" w:rsidRPr="00D9512C" w:rsidRDefault="009D1F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D9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6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D1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A3BD" w14:textId="77777777" w:rsidR="009D1FA5" w:rsidRPr="00D9512C" w:rsidRDefault="009D1F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Definition</w:t>
            </w:r>
          </w:p>
        </w:tc>
      </w:tr>
      <w:tr w:rsidR="009D1FA5" w:rsidRPr="00D9512C" w14:paraId="3AB118CE" w14:textId="77777777">
        <w:trPr>
          <w:trHeight w:val="300"/>
        </w:trPr>
        <w:tc>
          <w:tcPr>
            <w:tcW w:w="2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6E53" w14:textId="77777777" w:rsidR="009D1FA5" w:rsidRPr="00D9512C" w:rsidRDefault="009D1F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2C">
              <w:rPr>
                <w:rFonts w:ascii="Times New Roman" w:eastAsia="Times New Roman" w:hAnsi="Times New Roman" w:cs="Times New Roman"/>
                <w:sz w:val="24"/>
                <w:szCs w:val="24"/>
              </w:rPr>
              <w:t>Complaint</w:t>
            </w:r>
          </w:p>
        </w:tc>
        <w:tc>
          <w:tcPr>
            <w:tcW w:w="6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21F1" w14:textId="202952A5" w:rsidR="009D1FA5" w:rsidRPr="00D9512C" w:rsidRDefault="009D1F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written or verbal communication from a </w:t>
            </w:r>
            <w:r w:rsidR="003937B4">
              <w:rPr>
                <w:rFonts w:ascii="Times New Roman" w:eastAsia="Times New Roman" w:hAnsi="Times New Roman" w:cs="Times New Roman"/>
                <w:sz w:val="24"/>
                <w:szCs w:val="24"/>
              </w:rPr>
              <w:t>covered</w:t>
            </w:r>
            <w:r w:rsidRPr="00D9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employee who has experienced conduct that may violate this policy.</w:t>
            </w:r>
          </w:p>
        </w:tc>
      </w:tr>
      <w:tr w:rsidR="009D1FA5" w:rsidRPr="00D9512C" w14:paraId="476B340F" w14:textId="77777777" w:rsidTr="007A1B04">
        <w:tc>
          <w:tcPr>
            <w:tcW w:w="2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3DDF" w14:textId="19605605" w:rsidR="009D1FA5" w:rsidRPr="00D9512C" w:rsidRDefault="003937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Covered</w:t>
            </w:r>
            <w:r w:rsidR="009D1FA5" w:rsidRPr="00D9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Employee</w:t>
            </w:r>
          </w:p>
        </w:tc>
        <w:tc>
          <w:tcPr>
            <w:tcW w:w="6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817C" w14:textId="2621662E" w:rsidR="009D1FA5" w:rsidRPr="00D9512C" w:rsidRDefault="009D1F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C6A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employee who is blind and/or has a significant disability </w:t>
            </w:r>
            <w:r w:rsidR="00023021"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  <w:r w:rsidRPr="43C6A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</w:t>
            </w:r>
            <w:r w:rsidR="00023021">
              <w:rPr>
                <w:rFonts w:ascii="Times New Roman" w:eastAsia="Times New Roman" w:hAnsi="Times New Roman" w:cs="Times New Roman"/>
                <w:sz w:val="24"/>
                <w:szCs w:val="24"/>
              </w:rPr>
              <w:t>performing direct labor</w:t>
            </w:r>
            <w:r w:rsidR="00AD3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an AbilityOne contract.</w:t>
            </w:r>
          </w:p>
        </w:tc>
      </w:tr>
      <w:tr w:rsidR="009D1FA5" w:rsidRPr="00D9512C" w14:paraId="25DC6EA2" w14:textId="77777777">
        <w:trPr>
          <w:trHeight w:val="300"/>
        </w:trPr>
        <w:tc>
          <w:tcPr>
            <w:tcW w:w="2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FE42" w14:textId="77777777" w:rsidR="009D1FA5" w:rsidRPr="00D9512C" w:rsidRDefault="009D1F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2C">
              <w:rPr>
                <w:rFonts w:ascii="Times New Roman" w:eastAsia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6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2FE0" w14:textId="77777777" w:rsidR="009D1FA5" w:rsidRPr="00D9512C" w:rsidRDefault="009D1F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2C">
              <w:rPr>
                <w:rFonts w:ascii="Times New Roman" w:eastAsia="Times New Roman" w:hAnsi="Times New Roman" w:cs="Times New Roman"/>
                <w:sz w:val="24"/>
                <w:szCs w:val="24"/>
              </w:rPr>
              <w:t>A written or verbal communication made by a third party who has observed or been informed of conduct that may violate this policy.</w:t>
            </w:r>
          </w:p>
        </w:tc>
      </w:tr>
      <w:tr w:rsidR="00D4259B" w:rsidRPr="00D9512C" w14:paraId="38244697" w14:textId="77777777" w:rsidTr="008A10FD">
        <w:trPr>
          <w:trHeight w:val="25"/>
        </w:trPr>
        <w:tc>
          <w:tcPr>
            <w:tcW w:w="2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7B80" w14:textId="6CF62508" w:rsidR="00D4259B" w:rsidRPr="00D9512C" w:rsidRDefault="00D425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Mandatory disclosure</w:t>
            </w:r>
          </w:p>
        </w:tc>
        <w:tc>
          <w:tcPr>
            <w:tcW w:w="6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88D0" w14:textId="79891698" w:rsidR="00D4259B" w:rsidRPr="007A1B04" w:rsidRDefault="00EC5420" w:rsidP="008A10FD">
            <w:pPr>
              <w:pStyle w:val="Heading1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23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Statement provided to the CNA </w:t>
            </w:r>
            <w:r w:rsidR="00B75FFB" w:rsidRPr="001E23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by an NPA, or a statement made to the Commission by the CNA</w:t>
            </w:r>
            <w:r w:rsidR="00664234" w:rsidRPr="001E23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64234" w:rsidRPr="007A1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describing a qualifying event pursuant to </w:t>
            </w:r>
            <w:r w:rsidR="00DA775D" w:rsidRPr="007A1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the definitions and </w:t>
            </w:r>
            <w:r w:rsidR="00664234" w:rsidRPr="007A1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procedures set forth in this policy</w:t>
            </w:r>
            <w:r w:rsidR="002D53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436A8080" w14:textId="77777777" w:rsidR="009D1FA5" w:rsidRPr="00D9512C" w:rsidRDefault="009D1FA5" w:rsidP="00E619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b/>
          <w:sz w:val="24"/>
          <w:szCs w:val="24"/>
        </w:rPr>
      </w:pPr>
      <w:r w:rsidRPr="00123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RESPONSIBILITIES</w:t>
      </w:r>
      <w:r w:rsidRPr="00D9512C">
        <w:rPr>
          <w:sz w:val="24"/>
          <w:szCs w:val="24"/>
        </w:rPr>
        <w:t>.</w:t>
      </w:r>
    </w:p>
    <w:p w14:paraId="67D07DD9" w14:textId="77777777" w:rsidR="009D1FA5" w:rsidRPr="00D9512C" w:rsidRDefault="009D1FA5" w:rsidP="009D1FA5">
      <w:pPr>
        <w:widowControl w:val="0"/>
        <w:numPr>
          <w:ilvl w:val="1"/>
          <w:numId w:val="4"/>
        </w:numPr>
        <w:spacing w:after="120" w:line="240" w:lineRule="auto"/>
        <w:ind w:left="810" w:hanging="450"/>
        <w:rPr>
          <w:rFonts w:ascii="Times New Roman" w:eastAsia="Times New Roman" w:hAnsi="Times New Roman" w:cs="Times New Roman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sz w:val="24"/>
          <w:szCs w:val="24"/>
        </w:rPr>
        <w:t>The Commission:</w:t>
      </w:r>
    </w:p>
    <w:p w14:paraId="4478D562" w14:textId="697E14AE" w:rsidR="009D1FA5" w:rsidRPr="00D9512C" w:rsidRDefault="009D1FA5" w:rsidP="009D1F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sz w:val="24"/>
          <w:szCs w:val="24"/>
        </w:rPr>
        <w:t xml:space="preserve">Sets forth </w:t>
      </w:r>
      <w:r w:rsidRPr="00D9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rights of </w:t>
      </w:r>
      <w:r w:rsidR="00B64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covered </w:t>
      </w:r>
      <w:r w:rsidRPr="00D9512C">
        <w:rPr>
          <w:rFonts w:ascii="Times New Roman" w:eastAsia="Times New Roman" w:hAnsi="Times New Roman" w:cs="Times New Roman"/>
          <w:color w:val="000000"/>
          <w:sz w:val="24"/>
          <w:szCs w:val="24"/>
        </w:rPr>
        <w:t>employees within the AbilityOne Program consistent with all applicable laws and regulations.</w:t>
      </w:r>
    </w:p>
    <w:p w14:paraId="6A9EEB7D" w14:textId="19109424" w:rsidR="009D1FA5" w:rsidRPr="00D9512C" w:rsidRDefault="009D1FA5" w:rsidP="009D1F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Clarifies and enhances the current framework fo</w:t>
      </w:r>
      <w:r w:rsidR="00B649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 covered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employees and third parties to report alleged violations of this policy to the CNA and/or the Commission. </w:t>
      </w:r>
    </w:p>
    <w:p w14:paraId="6DBD00E9" w14:textId="77777777" w:rsidR="009D1FA5" w:rsidRPr="00D9512C" w:rsidRDefault="009D1FA5" w:rsidP="009D1F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Establishes mandatory disclosure requirements for an NPA to its designated CNA, as set forth in Section 6.</w:t>
      </w:r>
    </w:p>
    <w:p w14:paraId="06D8D712" w14:textId="77777777" w:rsidR="009D1FA5" w:rsidRPr="00D9512C" w:rsidRDefault="009D1FA5" w:rsidP="009D1F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Establishes mandatory disclosure reporting requirements from the CNA to the Commission.</w:t>
      </w:r>
    </w:p>
    <w:p w14:paraId="47BF7AB8" w14:textId="7C36067E" w:rsidR="009D1FA5" w:rsidRPr="00D9512C" w:rsidRDefault="009D1FA5" w:rsidP="009D1F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Determines follow-up actions required in response to complaints or reports or in response to a mandatory disclosure from an NPA.</w:t>
      </w:r>
    </w:p>
    <w:p w14:paraId="17D3D2FE" w14:textId="77777777" w:rsidR="009D1FA5" w:rsidRPr="00D9512C" w:rsidRDefault="009D1FA5" w:rsidP="009D1F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Monitors</w:t>
      </w:r>
      <w:r w:rsidRPr="43C6AA0E">
        <w:rPr>
          <w:rFonts w:ascii="Times New Roman" w:eastAsia="Times New Roman" w:hAnsi="Times New Roman" w:cs="Times New Roman"/>
          <w:sz w:val="24"/>
          <w:szCs w:val="24"/>
        </w:rPr>
        <w:t xml:space="preserve"> and enforces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NPA compliance with CNA and/or Commission-assigned actions in response to mandatory disclosures or direct complaints or reports.</w:t>
      </w:r>
    </w:p>
    <w:p w14:paraId="34520E33" w14:textId="77777777" w:rsidR="009D1FA5" w:rsidRPr="00D9512C" w:rsidRDefault="009D1FA5" w:rsidP="009D1FA5">
      <w:pPr>
        <w:widowControl w:val="0"/>
        <w:numPr>
          <w:ilvl w:val="1"/>
          <w:numId w:val="4"/>
        </w:numPr>
        <w:spacing w:after="120" w:line="240" w:lineRule="auto"/>
        <w:ind w:left="810" w:hanging="450"/>
        <w:rPr>
          <w:rFonts w:ascii="Times New Roman" w:eastAsia="Times New Roman" w:hAnsi="Times New Roman" w:cs="Times New Roman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sz w:val="24"/>
          <w:szCs w:val="24"/>
        </w:rPr>
        <w:t>The CNA:</w:t>
      </w:r>
    </w:p>
    <w:p w14:paraId="4AF78FA5" w14:textId="2C0FECBD" w:rsidR="009D1FA5" w:rsidRPr="00D9512C" w:rsidRDefault="009D1FA5" w:rsidP="009D1F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sz w:val="24"/>
          <w:szCs w:val="24"/>
        </w:rPr>
        <w:t xml:space="preserve">Ensures that NPAs </w:t>
      </w: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 </w:t>
      </w:r>
      <w:r w:rsidR="00B649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covered </w:t>
      </w: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employees of their rights</w:t>
      </w:r>
      <w:r w:rsidR="000F66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employees</w:t>
      </w: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this Commission</w:t>
      </w:r>
      <w:r w:rsidRPr="00D9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policy, and how to report rights violations.</w:t>
      </w:r>
    </w:p>
    <w:p w14:paraId="164E93F8" w14:textId="77777777" w:rsidR="009D1FA5" w:rsidRPr="00D9512C" w:rsidRDefault="009D1FA5" w:rsidP="009D1F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Ensures that NPAs have effective systems in place to receive and respond to complaints or reports.</w:t>
      </w:r>
    </w:p>
    <w:p w14:paraId="5F8F6191" w14:textId="77777777" w:rsidR="009D1FA5" w:rsidRPr="00D9512C" w:rsidRDefault="009D1FA5" w:rsidP="009D1F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Receives complaints or reports and mandatory disclosures from NPAs. </w:t>
      </w:r>
    </w:p>
    <w:p w14:paraId="1A9ED4AA" w14:textId="77777777" w:rsidR="009D1FA5" w:rsidRPr="00D9512C" w:rsidRDefault="009D1FA5" w:rsidP="009D1F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Informs the Commission of complaints or reports and mandatory disclosures.</w:t>
      </w:r>
    </w:p>
    <w:p w14:paraId="5A514131" w14:textId="77777777" w:rsidR="009D1FA5" w:rsidRPr="00D9512C" w:rsidRDefault="009D1FA5" w:rsidP="009D1F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Undertakes follow-up actions as set forth in this policy. </w:t>
      </w:r>
    </w:p>
    <w:p w14:paraId="7A3EE0EB" w14:textId="77777777" w:rsidR="009D1FA5" w:rsidRPr="00D9512C" w:rsidRDefault="009D1FA5" w:rsidP="009D1FA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NPA:</w:t>
      </w:r>
    </w:p>
    <w:p w14:paraId="59479BB1" w14:textId="79F9E952" w:rsidR="009D1FA5" w:rsidRPr="00D9512C" w:rsidRDefault="009D1FA5" w:rsidP="009D1FA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sz w:val="24"/>
          <w:szCs w:val="24"/>
        </w:rPr>
        <w:t xml:space="preserve">Ensures </w:t>
      </w:r>
      <w:r w:rsidR="00903D40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43C6A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9D8">
        <w:rPr>
          <w:rFonts w:ascii="Times New Roman" w:eastAsia="Times New Roman" w:hAnsi="Times New Roman" w:cs="Times New Roman"/>
          <w:sz w:val="24"/>
          <w:szCs w:val="24"/>
        </w:rPr>
        <w:t xml:space="preserve">covered </w:t>
      </w:r>
      <w:r w:rsidRPr="43C6AA0E">
        <w:rPr>
          <w:rFonts w:ascii="Times New Roman" w:eastAsia="Times New Roman" w:hAnsi="Times New Roman" w:cs="Times New Roman"/>
          <w:sz w:val="24"/>
          <w:szCs w:val="24"/>
        </w:rPr>
        <w:t xml:space="preserve">employees are 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informed of their rights</w:t>
      </w:r>
      <w:r w:rsidR="00E13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employees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that </w:t>
      </w:r>
      <w:r w:rsidR="00651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employees know how to make a complaint </w:t>
      </w:r>
      <w:r w:rsidR="003D6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report 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regarding a violation of this policy.</w:t>
      </w:r>
    </w:p>
    <w:p w14:paraId="2B2CCD1D" w14:textId="77777777" w:rsidR="009D1FA5" w:rsidRPr="00D9512C" w:rsidRDefault="009D1FA5" w:rsidP="009D1FA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Establishes and maintains an effective system for receiving and investigating complaints or reports.</w:t>
      </w:r>
    </w:p>
    <w:p w14:paraId="70C59604" w14:textId="77777777" w:rsidR="009D1FA5" w:rsidRPr="00D9512C" w:rsidRDefault="009D1FA5" w:rsidP="009D1FA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Makes mandatory disclosures as required under this policy.</w:t>
      </w:r>
    </w:p>
    <w:p w14:paraId="67191867" w14:textId="0378E6C1" w:rsidR="009D1FA5" w:rsidRPr="00D9512C" w:rsidRDefault="009D1FA5" w:rsidP="009D1FA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Cooperates in any </w:t>
      </w:r>
      <w:r w:rsidR="00BF2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</w:t>
      </w:r>
      <w:r w:rsidR="00BA4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taken </w:t>
      </w:r>
      <w:r w:rsidR="009A7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BA4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CNA and/or Commission in follow up to any complaint, report, or mandatory disclosure. </w:t>
      </w:r>
    </w:p>
    <w:p w14:paraId="0C1A2A90" w14:textId="77777777" w:rsidR="009D1FA5" w:rsidRPr="00D9512C" w:rsidRDefault="009D1FA5" w:rsidP="007A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  <w:sz w:val="24"/>
          <w:szCs w:val="24"/>
        </w:rPr>
      </w:pPr>
      <w:r w:rsidRPr="007A1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POLICY</w:t>
      </w:r>
      <w:r w:rsidRPr="00D9512C">
        <w:rPr>
          <w:color w:val="000000" w:themeColor="text1"/>
          <w:sz w:val="24"/>
          <w:szCs w:val="24"/>
        </w:rPr>
        <w:t>.</w:t>
      </w:r>
    </w:p>
    <w:p w14:paraId="62DF7DCC" w14:textId="21E807BD" w:rsidR="009D1FA5" w:rsidRPr="00D9512C" w:rsidRDefault="009D1FA5" w:rsidP="009D1FA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40" w:lineRule="auto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Legal Protections and Rights of </w:t>
      </w:r>
      <w:r w:rsidR="00B649D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Covered </w:t>
      </w: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Employees</w:t>
      </w:r>
    </w:p>
    <w:p w14:paraId="32E9F0BF" w14:textId="772763AD" w:rsidR="009D1FA5" w:rsidRPr="00D9512C" w:rsidRDefault="009D1FA5" w:rsidP="009D1FA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All </w:t>
      </w:r>
      <w:r w:rsidR="004A6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covered 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employees are entitled to the same legal protections</w:t>
      </w:r>
      <w:r w:rsidR="00097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subject to the same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legal standards, and </w:t>
      </w:r>
      <w:r w:rsidR="00F53A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enjoy 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equal access to employment benefits, as non-disabled employees performing the same or similar work. AbilityOne NPAs shall uphold this principle and ensure that all of their </w:t>
      </w:r>
      <w:r w:rsidR="004A6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covered 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employees are aware of the legal protections and employment benefits available to them. </w:t>
      </w:r>
    </w:p>
    <w:p w14:paraId="53C5AFF8" w14:textId="77777777" w:rsidR="009D1FA5" w:rsidRPr="00D9512C" w:rsidRDefault="009D1FA5" w:rsidP="009D1FA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legal protections contemplated under this policy include, but are not limited to, the following Federal, state, and local protections:</w:t>
      </w:r>
    </w:p>
    <w:p w14:paraId="61FC9C1A" w14:textId="77777777" w:rsidR="009D1FA5" w:rsidRPr="00D9512C" w:rsidRDefault="009D1FA5" w:rsidP="009D1FA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Labor and employment law (including participation in a bargaining unit).</w:t>
      </w:r>
    </w:p>
    <w:p w14:paraId="32FD7793" w14:textId="77777777" w:rsidR="009D1FA5" w:rsidRPr="00D9512C" w:rsidRDefault="009D1FA5" w:rsidP="009D1FA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Anti-discrimination protections.</w:t>
      </w:r>
    </w:p>
    <w:p w14:paraId="40E10BFB" w14:textId="77777777" w:rsidR="009D1FA5" w:rsidRPr="00D9512C" w:rsidRDefault="009D1FA5" w:rsidP="009D1FA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/>
          <w:sz w:val="24"/>
          <w:szCs w:val="24"/>
        </w:rPr>
        <w:t>Health and safety protections.</w:t>
      </w:r>
    </w:p>
    <w:p w14:paraId="14958443" w14:textId="77777777" w:rsidR="009D1FA5" w:rsidRPr="00D9512C" w:rsidRDefault="009D1FA5" w:rsidP="009D1FA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Participation in applicable workers compensation, unemployment, and similar insurance plans.  </w:t>
      </w:r>
    </w:p>
    <w:p w14:paraId="46FFBD48" w14:textId="77777777" w:rsidR="009D1FA5" w:rsidRPr="00D9512C" w:rsidRDefault="009D1FA5" w:rsidP="009D1FA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employment benefits contemplated under this policy include, but are not limited to:</w:t>
      </w:r>
    </w:p>
    <w:p w14:paraId="5C0D3CCF" w14:textId="77777777" w:rsidR="009D1FA5" w:rsidRPr="00D9512C" w:rsidRDefault="009D1FA5" w:rsidP="009D1FA5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0j0zll" w:colFirst="0" w:colLast="0"/>
      <w:bookmarkEnd w:id="3"/>
      <w:r w:rsidRPr="00D9512C">
        <w:rPr>
          <w:rFonts w:ascii="Times New Roman" w:eastAsia="Times New Roman" w:hAnsi="Times New Roman" w:cs="Times New Roman"/>
          <w:color w:val="000000"/>
          <w:sz w:val="24"/>
          <w:szCs w:val="24"/>
        </w:rPr>
        <w:t>Health insurance coverage.</w:t>
      </w:r>
    </w:p>
    <w:p w14:paraId="02E2C03F" w14:textId="77777777" w:rsidR="009D1FA5" w:rsidRPr="00D9512C" w:rsidRDefault="009D1FA5" w:rsidP="009D1FA5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/>
          <w:sz w:val="24"/>
          <w:szCs w:val="24"/>
        </w:rPr>
        <w:t>Retirement plans.</w:t>
      </w:r>
    </w:p>
    <w:p w14:paraId="4FF5EBB4" w14:textId="77777777" w:rsidR="009D1FA5" w:rsidRPr="00D9512C" w:rsidRDefault="009D1FA5" w:rsidP="009D1FA5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/>
          <w:sz w:val="24"/>
          <w:szCs w:val="24"/>
        </w:rPr>
        <w:t>Paid time off.</w:t>
      </w:r>
    </w:p>
    <w:p w14:paraId="286048CA" w14:textId="5535315C" w:rsidR="009D1FA5" w:rsidRPr="00D9512C" w:rsidRDefault="00173179" w:rsidP="009D1FA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Covered</w:t>
      </w:r>
      <w:r w:rsidR="009D1FA5"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employees and third parties shall have a mechanism by which they can submit complaints or reports (as applicable) to the NPA, CNA, or Commission.</w:t>
      </w:r>
    </w:p>
    <w:p w14:paraId="10D5232F" w14:textId="77777777" w:rsidR="009D1FA5" w:rsidRPr="00D9512C" w:rsidRDefault="009D1FA5" w:rsidP="009D1FA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NPA may not prevent or discourage an employee from filing a complaint or report with the NPA, CNA, or Commission, or the appropriate Federal, state, or local agency.</w:t>
      </w:r>
    </w:p>
    <w:p w14:paraId="5BB38595" w14:textId="77777777" w:rsidR="009D1FA5" w:rsidRPr="00D9512C" w:rsidRDefault="009D1FA5" w:rsidP="009D1FA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40" w:lineRule="auto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2064D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Mandatory Disclosures</w:t>
      </w:r>
      <w:r w:rsidRPr="42064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1189839" w14:textId="2B11D7B8" w:rsidR="009D1FA5" w:rsidRPr="00D9512C" w:rsidRDefault="009D1FA5" w:rsidP="009D1FA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NPA shall disclose to its designated </w:t>
      </w:r>
      <w:r w:rsidR="00410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D648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="00410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when it receives credible</w:t>
      </w:r>
      <w:r w:rsidR="00D648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information regarding any of the following</w:t>
      </w: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794762E" w14:textId="3D27D5D0" w:rsidR="009D1FA5" w:rsidRPr="00D9512C" w:rsidRDefault="009D1FA5" w:rsidP="009D1FA5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 about any complaint filed with a Federal, state, or local governmental entity responsible for enforcement of the laws referenced in 6(a)</w:t>
      </w:r>
      <w:r w:rsidR="00417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except that</w:t>
      </w:r>
      <w:r w:rsidR="006557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6557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NPA need not disclose complaints </w:t>
      </w:r>
      <w:r w:rsidR="001C0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which its </w:t>
      </w:r>
      <w:r w:rsidR="00B00B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covered</w:t>
      </w:r>
      <w:r w:rsidR="006557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employees </w:t>
      </w:r>
      <w:r w:rsidR="001C0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have made directly </w:t>
      </w:r>
      <w:r w:rsidR="006557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the Commission or the CNA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86BAC0" w14:textId="00081326" w:rsidR="009D1FA5" w:rsidRPr="00D9512C" w:rsidRDefault="009D1FA5" w:rsidP="009D1FA5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Information regarding significant notices and/or status changes </w:t>
      </w:r>
      <w:r w:rsidR="007402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such as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findings of violations;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violation of consent decrees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filing of litigation by a governmental entity addressing the complaint described in (b)(i)(a</w:t>
      </w:r>
      <w:r w:rsidR="00966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6CB70AEC" w14:textId="4CF26B82" w:rsidR="009D1FA5" w:rsidRPr="00D9512C" w:rsidRDefault="009D1FA5" w:rsidP="009D1FA5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lawsuit filed by a </w:t>
      </w:r>
      <w:r w:rsidR="00206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covered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employee naming the NPA as a defendant and the resolution to such a lawsuit (e.g., dismissal, settlement, or judgement). </w:t>
      </w:r>
    </w:p>
    <w:p w14:paraId="452B0242" w14:textId="338D0873" w:rsidR="009D1FA5" w:rsidRPr="00D9512C" w:rsidRDefault="009D1FA5" w:rsidP="009D1FA5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imminent threat to the solvency of the NPA that would impact the NPA’s 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ability to make timely payment of salary and benefits to its employees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the NPA’s ability to perform under its contract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E028801" w14:textId="77777777" w:rsidR="009D1FA5" w:rsidRPr="00D9512C" w:rsidRDefault="009D1FA5" w:rsidP="009D1FA5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 complaint received by the NPA raising concerns of waste, fraud, or abuse.</w:t>
      </w:r>
    </w:p>
    <w:p w14:paraId="622842A9" w14:textId="77777777" w:rsidR="009D1FA5" w:rsidRPr="00D9512C" w:rsidRDefault="009D1FA5" w:rsidP="007A1B0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8" w:hanging="27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NPA must disclose these matters to its designated CNA within five (5) business days of when it knows of, or reasonably should have known of, a matter described above.</w:t>
      </w:r>
    </w:p>
    <w:p w14:paraId="3D92455B" w14:textId="77777777" w:rsidR="009D1FA5" w:rsidRPr="00D9512C" w:rsidRDefault="009D1FA5" w:rsidP="007A1B0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8" w:hanging="27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cases of complaints or reports regarding waste, fraud, or abuse, the CNA must notify the Commission’s Inspector General of the complaint or report within five (5) business days at [</w:t>
      </w:r>
      <w:r w:rsidRPr="00D9512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Commission IG preferred means for report submission will be inserted here</w:t>
      </w: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].</w:t>
      </w:r>
    </w:p>
    <w:p w14:paraId="2F7B867B" w14:textId="77777777" w:rsidR="009D1FA5" w:rsidRPr="00D9512C" w:rsidRDefault="009D1FA5" w:rsidP="007A1B0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8" w:hanging="27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CNA must report mandatory disclosures received from the NPA to the Commission pursuant to the procedures in this policy described below.</w:t>
      </w:r>
    </w:p>
    <w:p w14:paraId="30E2EF08" w14:textId="73D6DAB1" w:rsidR="009D1FA5" w:rsidRPr="00D9512C" w:rsidRDefault="009D1FA5" w:rsidP="007A1B0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8" w:hanging="27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Reporting a mandatory disclosure will not automatically trigger an administrative consequence </w:t>
      </w:r>
      <w:r w:rsidR="003E2B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but </w:t>
      </w:r>
      <w:r w:rsidR="00771A11">
        <w:rPr>
          <w:rFonts w:ascii="Times New Roman" w:eastAsia="Times New Roman" w:hAnsi="Times New Roman" w:cs="Times New Roman"/>
          <w:sz w:val="24"/>
          <w:szCs w:val="24"/>
          <w:u w:val="single"/>
        </w:rPr>
        <w:t>will ordinarily</w:t>
      </w:r>
      <w:r w:rsidRPr="43C6AA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result in </w:t>
      </w:r>
      <w:r w:rsidR="009F7DEE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03E2B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he CNA </w:t>
      </w:r>
      <w:r w:rsidRPr="43C6AA0E">
        <w:rPr>
          <w:rFonts w:ascii="Times New Roman" w:eastAsia="Times New Roman" w:hAnsi="Times New Roman" w:cs="Times New Roman"/>
          <w:sz w:val="24"/>
          <w:szCs w:val="24"/>
          <w:u w:val="single"/>
        </w:rPr>
        <w:t>monitoring the NPA with regard to the subject of the disclosure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0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persistent or </w:t>
      </w:r>
      <w:r w:rsidR="00B81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egregious </w:t>
      </w:r>
      <w:r w:rsidR="00B40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failure to report</w:t>
      </w:r>
      <w:r w:rsidR="00B44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however, may trigger administrative action pursuant to </w:t>
      </w:r>
      <w:r w:rsidR="002E6D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Commission Policy </w:t>
      </w:r>
      <w:r w:rsidR="00B44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="002E6D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44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407.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F8D14A" w14:textId="77777777" w:rsidR="009D1FA5" w:rsidRPr="00D9512C" w:rsidRDefault="009D1FA5" w:rsidP="009D1FA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PROCEDURES</w:t>
      </w: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81AD05" w14:textId="6F2AAFC8" w:rsidR="009D1FA5" w:rsidRPr="00D9512C" w:rsidRDefault="009D1FA5" w:rsidP="009D1FA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40" w:lineRule="auto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omplaints or Reports to an NPA</w:t>
      </w:r>
    </w:p>
    <w:p w14:paraId="49D767F1" w14:textId="77777777" w:rsidR="009D1FA5" w:rsidRPr="00D9512C" w:rsidRDefault="009D1FA5" w:rsidP="009D1FA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NPA must:</w:t>
      </w:r>
    </w:p>
    <w:p w14:paraId="67BB5B32" w14:textId="77777777" w:rsidR="009D1FA5" w:rsidRPr="00D9512C" w:rsidRDefault="009D1FA5" w:rsidP="009D1FA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an effective system for employee(s) or third parties to safely make a complaint or report (as applicable) regarding conduct that allegedly violates this policy; and</w:t>
      </w:r>
    </w:p>
    <w:p w14:paraId="19A6746B" w14:textId="53A66C50" w:rsidR="009D1FA5" w:rsidRPr="00D9512C" w:rsidRDefault="009D1FA5" w:rsidP="009D1FA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Describe and demonstrate this system to its designated CNA.</w:t>
      </w:r>
    </w:p>
    <w:p w14:paraId="21CCEBE3" w14:textId="32961F31" w:rsidR="009D1FA5" w:rsidRPr="00D9512C" w:rsidRDefault="009D1FA5" w:rsidP="009D1FA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40" w:lineRule="auto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Complaints or Reports to the CNA and/or Commission</w:t>
      </w:r>
    </w:p>
    <w:p w14:paraId="4D823416" w14:textId="640CEF2E" w:rsidR="009D1FA5" w:rsidRPr="00D9512C" w:rsidRDefault="009D1FA5" w:rsidP="009D1FA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33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covered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employee or third party may submit a complaint or report, as applicable, to the NPA’s designated CNA or to the Commission regarding conduct that allegedly</w:t>
      </w:r>
      <w:r w:rsidRPr="43C6AA0E" w:rsidDel="1279D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violates this policy.  </w:t>
      </w:r>
    </w:p>
    <w:p w14:paraId="17151AEB" w14:textId="7B08A455" w:rsidR="009D1FA5" w:rsidRPr="00D9512C" w:rsidRDefault="009D1FA5" w:rsidP="009D1FA5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7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06C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covered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employee or third party may submit a complaint or report, as applicable, directly to the designated CNA by the means set forth in Attachment #1. (Attachment to be developed.)</w:t>
      </w:r>
    </w:p>
    <w:p w14:paraId="1FB66491" w14:textId="2FD3B226" w:rsidR="009D1FA5" w:rsidRPr="00D9512C" w:rsidRDefault="009D1FA5" w:rsidP="009D1FA5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7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B3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covered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employee or third party may submit a complaint or report, as applicable, to the Commission by email at [</w:t>
      </w:r>
      <w:r w:rsidRPr="43C6AA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email address complaints@abilityone.gov will be activated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].</w:t>
      </w:r>
    </w:p>
    <w:p w14:paraId="333CD52F" w14:textId="77777777" w:rsidR="009D1FA5" w:rsidRPr="00D9512C" w:rsidRDefault="009D1FA5" w:rsidP="009D1FA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complaint or report to a CNA or the Commission shall include at a minimum the following:</w:t>
      </w:r>
    </w:p>
    <w:p w14:paraId="3FCB42FE" w14:textId="77777777" w:rsidR="009D1FA5" w:rsidRPr="00D9512C" w:rsidRDefault="009D1FA5" w:rsidP="009D1FA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/>
          <w:sz w:val="24"/>
          <w:szCs w:val="24"/>
        </w:rPr>
        <w:t>The name of the NPA;</w:t>
      </w:r>
    </w:p>
    <w:p w14:paraId="73D5D8B8" w14:textId="589FCABE" w:rsidR="009D1FA5" w:rsidRPr="00D9512C" w:rsidRDefault="009D1FA5" w:rsidP="009D1FA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If applicable, the name of the individual about whom the complaint or report is being made;</w:t>
      </w:r>
    </w:p>
    <w:p w14:paraId="6DE811DD" w14:textId="77777777" w:rsidR="009D1FA5" w:rsidRPr="00D9512C" w:rsidRDefault="009D1FA5" w:rsidP="009D1FA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description of the event(s) leading to the complaint or report, including when and where the event(s) occurred; and</w:t>
      </w:r>
    </w:p>
    <w:p w14:paraId="7B023169" w14:textId="77777777" w:rsidR="009D1FA5" w:rsidRPr="00D9512C" w:rsidRDefault="009D1FA5" w:rsidP="009D1FA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description of any action that has been taken to date about the matter covered by the complaint or report, if any.</w:t>
      </w:r>
    </w:p>
    <w:p w14:paraId="1E2E792A" w14:textId="101CB1F0" w:rsidR="009D1FA5" w:rsidRPr="00D9512C" w:rsidRDefault="009D1FA5" w:rsidP="009D1FA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171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covered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employee or third party may submit an anonymous complaint or report, as applicable, to a CNA or the Commission but should be aware that the inability to contact the complainant or reporter to request follow-up information will hinder the CNA and/or Commission</w:t>
      </w:r>
      <w:r w:rsidR="007F3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’s ability to respond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7EB0903" w14:textId="76AE5F85" w:rsidR="009D1FA5" w:rsidRPr="00D9512C" w:rsidRDefault="009D1FA5" w:rsidP="009D1FA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 w:line="240" w:lineRule="auto"/>
        <w:ind w:left="126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CNA and/or Commission, where relevant, will provide the complainant or reporter with the information regarding how to file a complaint with the appropriate external enforcement agency (or agencies). </w:t>
      </w:r>
    </w:p>
    <w:p w14:paraId="0EC5A03E" w14:textId="3C63B392" w:rsidR="009D1FA5" w:rsidRPr="00D9512C" w:rsidRDefault="009D1FA5" w:rsidP="009D1FA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40" w:lineRule="auto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Initial Actions by the CNA </w:t>
      </w:r>
    </w:p>
    <w:p w14:paraId="4EA13095" w14:textId="1CF5BBE2" w:rsidR="009D1FA5" w:rsidRPr="00D9512C" w:rsidRDefault="009D1FA5" w:rsidP="007A1B04">
      <w:pPr>
        <w:pStyle w:val="ListParagraph"/>
        <w:widowControl w:val="0"/>
        <w:numPr>
          <w:ilvl w:val="0"/>
          <w:numId w:val="13"/>
        </w:numPr>
        <w:tabs>
          <w:tab w:val="left" w:pos="1260"/>
        </w:tabs>
        <w:spacing w:after="120" w:line="240" w:lineRule="auto"/>
        <w:ind w:left="1260" w:hanging="27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Initial Assessment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When the CNA receives a complaint</w:t>
      </w:r>
      <w:r w:rsidR="00D25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report, or mandatory disclosure, the CNA shall determine: </w:t>
      </w:r>
    </w:p>
    <w:p w14:paraId="18D1979A" w14:textId="44BFEA28" w:rsidR="009D1FA5" w:rsidRPr="00D9512C" w:rsidRDefault="009D1FA5" w:rsidP="007A1B04">
      <w:pPr>
        <w:pStyle w:val="ListParagraph"/>
        <w:widowControl w:val="0"/>
        <w:numPr>
          <w:ilvl w:val="1"/>
          <w:numId w:val="14"/>
        </w:numPr>
        <w:tabs>
          <w:tab w:val="left" w:pos="1260"/>
        </w:tabs>
        <w:spacing w:after="120" w:line="240" w:lineRule="auto"/>
        <w:ind w:left="16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Whether the conduct at issue pertains to a </w:t>
      </w:r>
      <w:r w:rsidR="00C171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covered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employee; and/or </w:t>
      </w:r>
    </w:p>
    <w:p w14:paraId="3BB1AFC2" w14:textId="77777777" w:rsidR="009D1FA5" w:rsidRPr="00D9512C" w:rsidRDefault="009D1FA5" w:rsidP="007A1B04">
      <w:pPr>
        <w:pStyle w:val="ListParagraph"/>
        <w:widowControl w:val="0"/>
        <w:numPr>
          <w:ilvl w:val="1"/>
          <w:numId w:val="14"/>
        </w:numPr>
        <w:tabs>
          <w:tab w:val="left" w:pos="1260"/>
        </w:tabs>
        <w:spacing w:after="120" w:line="240" w:lineRule="auto"/>
        <w:ind w:left="16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Whether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complaint, report, or 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mandatory disclosure is within the scope of this policy. </w:t>
      </w:r>
    </w:p>
    <w:p w14:paraId="2AB083E3" w14:textId="1A359962" w:rsidR="009D1FA5" w:rsidRPr="00D9512C" w:rsidRDefault="009D1FA5" w:rsidP="007A1B04">
      <w:pPr>
        <w:pStyle w:val="ListParagraph"/>
        <w:widowControl w:val="0"/>
        <w:numPr>
          <w:ilvl w:val="0"/>
          <w:numId w:val="13"/>
        </w:numPr>
        <w:tabs>
          <w:tab w:val="left" w:pos="1260"/>
        </w:tabs>
        <w:spacing w:after="120" w:line="240" w:lineRule="auto"/>
        <w:ind w:left="1253" w:hanging="25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CNA Reporting to the Commission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The </w:t>
      </w:r>
      <w:r w:rsidRPr="43C6AA0E">
        <w:rPr>
          <w:rFonts w:ascii="Times New Roman" w:eastAsia="Times New Roman" w:hAnsi="Times New Roman" w:cs="Times New Roman"/>
          <w:sz w:val="24"/>
          <w:szCs w:val="24"/>
        </w:rPr>
        <w:t>CNA shall transmit the complaint, report, or mandatory disclosure to the Commission within five (5) business days, along with its initial assessment, as described in</w:t>
      </w:r>
      <w:r w:rsidR="00A76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505">
        <w:rPr>
          <w:rFonts w:ascii="Times New Roman" w:eastAsia="Times New Roman" w:hAnsi="Times New Roman" w:cs="Times New Roman"/>
          <w:sz w:val="24"/>
          <w:szCs w:val="24"/>
        </w:rPr>
        <w:t>Secti</w:t>
      </w:r>
      <w:r w:rsidR="00484505" w:rsidRPr="00C54CA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693D6F" w:rsidRPr="00C54CA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96C63">
        <w:rPr>
          <w:rFonts w:ascii="Times New Roman" w:eastAsia="Times New Roman" w:hAnsi="Times New Roman" w:cs="Times New Roman"/>
          <w:sz w:val="24"/>
          <w:szCs w:val="24"/>
        </w:rPr>
        <w:t>(c)(i)</w:t>
      </w:r>
      <w:r w:rsidR="00A767AE" w:rsidRPr="00C5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CA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43C6AA0E">
        <w:rPr>
          <w:rFonts w:ascii="Times New Roman" w:eastAsia="Times New Roman" w:hAnsi="Times New Roman" w:cs="Times New Roman"/>
          <w:sz w:val="24"/>
          <w:szCs w:val="24"/>
        </w:rPr>
        <w:t xml:space="preserve"> its initial recommended response as to follow-up actions.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04283C1B" w14:textId="1549F4A2" w:rsidR="009D1FA5" w:rsidRPr="00D9512C" w:rsidRDefault="009D1FA5" w:rsidP="007A1B04">
      <w:pPr>
        <w:pStyle w:val="ListParagraph"/>
        <w:widowControl w:val="0"/>
        <w:numPr>
          <w:ilvl w:val="0"/>
          <w:numId w:val="13"/>
        </w:numPr>
        <w:tabs>
          <w:tab w:val="left" w:pos="1260"/>
        </w:tabs>
        <w:spacing w:after="120" w:line="240" w:lineRule="auto"/>
        <w:ind w:left="1253" w:hanging="25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Commission Response to the CNA’s Communication of Initial Actions</w:t>
      </w:r>
      <w:r w:rsidR="00251551" w:rsidRPr="007A1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A1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Upon </w:t>
      </w:r>
      <w:r w:rsidRPr="007A1B0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notification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a CNA regarding a complaint, report, or mandatory disclosure, the Commission may take any of the following actions: </w:t>
      </w:r>
    </w:p>
    <w:p w14:paraId="16969B79" w14:textId="2F86C090" w:rsidR="009D1FA5" w:rsidRPr="00D9512C" w:rsidRDefault="009D1FA5" w:rsidP="009D1FA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Concur with the CNA’s initial assessment that the conduct does not pertain to a </w:t>
      </w:r>
      <w:r w:rsidR="00C171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covered 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employee or does not fall within the scope of the policy;</w:t>
      </w:r>
    </w:p>
    <w:p w14:paraId="2AD72542" w14:textId="48538761" w:rsidR="009D1FA5" w:rsidRPr="00D9512C" w:rsidRDefault="009D1FA5" w:rsidP="009D1FA5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Instruct the CNA to follow up with the complainant or reporter as needed to obtain additional information;</w:t>
      </w:r>
    </w:p>
    <w:p w14:paraId="1ABD2693" w14:textId="513AAEE3" w:rsidR="009D1FA5" w:rsidRPr="00D9512C" w:rsidRDefault="009D1FA5" w:rsidP="009D1FA5">
      <w:pPr>
        <w:widowControl w:val="0"/>
        <w:numPr>
          <w:ilvl w:val="1"/>
          <w:numId w:val="10"/>
        </w:numP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Determine whether the substance of the complaint or report should be communicated to the NPA, and if so, whether the CNA or the Commission should make that communication</w:t>
      </w:r>
      <w:r w:rsidR="00484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E27FADD" w14:textId="0021300E" w:rsidR="00EF54BC" w:rsidRPr="00EF54BC" w:rsidRDefault="009D1FA5" w:rsidP="00A64F9E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Instruct the CNA to monitor the NPA</w:t>
      </w:r>
      <w:r w:rsidR="00831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respect to the subject of the compla</w:t>
      </w:r>
      <w:r w:rsid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</w:t>
      </w:r>
      <w:r w:rsidR="00484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783D34" w14:textId="2DBEAEF4" w:rsidR="00EF54BC" w:rsidRPr="00EF54BC" w:rsidRDefault="009D1FA5" w:rsidP="00A64F9E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Instruct the CNA to </w:t>
      </w:r>
      <w:r w:rsidR="008E340F" w:rsidRP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obtain additional information </w:t>
      </w:r>
      <w:r w:rsidR="009F315C" w:rsidRP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documentation </w:t>
      </w:r>
      <w:r w:rsidR="001C4127" w:rsidRP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relevant to </w:t>
      </w:r>
      <w:r w:rsidRP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the complaint</w:t>
      </w:r>
      <w:r w:rsidR="001C4127" w:rsidRP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report, or mandatory disclosure</w:t>
      </w:r>
      <w:r w:rsidR="00273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to transmit that information to the Commission </w:t>
      </w:r>
      <w:r w:rsidR="00021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along with further recommendations as needed</w:t>
      </w:r>
      <w:r w:rsidRP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A55395C" w14:textId="50D342C4" w:rsidR="00587975" w:rsidRPr="00587975" w:rsidRDefault="00AC6B21" w:rsidP="00867520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A64F9E" w:rsidRP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9D1FA5" w:rsidRPr="00EF5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rward the matter to the relevant government agency for investigation; </w:t>
      </w:r>
      <w:r w:rsidR="00587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</w:p>
    <w:p w14:paraId="3E06E641" w14:textId="77777777" w:rsidR="0077280A" w:rsidRPr="0077280A" w:rsidRDefault="009D1FA5" w:rsidP="0040309F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 the complainant or reporter to a government agency with the authority to consider the matte</w:t>
      </w:r>
      <w:r w:rsidR="00772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</w:p>
    <w:p w14:paraId="50992C2C" w14:textId="2C1CB5E8" w:rsidR="009D1FA5" w:rsidRPr="0077280A" w:rsidRDefault="00F76248" w:rsidP="00A3359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D1FA5" w:rsidRPr="00772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Upon receipt by the Commission of a complaint or report, the Commission will determine whether the </w:t>
      </w:r>
      <w:r w:rsidR="009D1FA5" w:rsidRPr="0077280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alleged</w:t>
      </w:r>
      <w:r w:rsidR="009D1FA5" w:rsidRPr="00772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conduct pertains to a </w:t>
      </w:r>
      <w:r w:rsidR="00955FE7" w:rsidRPr="00772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covered </w:t>
      </w:r>
      <w:r w:rsidR="009D1FA5" w:rsidRPr="00772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employee, and if so, will follow the </w:t>
      </w:r>
      <w:r w:rsidR="009D1FA5" w:rsidRPr="0077280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steps described</w:t>
      </w:r>
      <w:r w:rsidR="00A3359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in </w:t>
      </w:r>
      <w:r w:rsidR="00A33593" w:rsidRPr="00A3359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7(c)(iii)</w:t>
      </w:r>
      <w:r w:rsidR="009D1FA5" w:rsidRPr="00772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4076D1" w14:textId="440210B6" w:rsidR="009D1FA5" w:rsidRPr="00996C63" w:rsidRDefault="009D1FA5" w:rsidP="007A1B04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When the Commission directs the CNA to </w:t>
      </w:r>
      <w:r w:rsidR="00477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 an NPA,</w:t>
      </w:r>
      <w:r w:rsidRPr="43C6A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CNA shall </w:t>
      </w:r>
      <w:r w:rsidRPr="00996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provide the Commission with periodic progress reports. </w:t>
      </w:r>
    </w:p>
    <w:p w14:paraId="071AF9CF" w14:textId="53B52841" w:rsidR="009D1FA5" w:rsidRPr="00996C63" w:rsidRDefault="009D1FA5" w:rsidP="007A1B04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16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Commission may, at any time in the process, take additional action steps set forth in (7)(</w:t>
      </w:r>
      <w:r w:rsidR="00934E63" w:rsidRPr="00996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96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)(i</w:t>
      </w:r>
      <w:r w:rsidR="0074187D" w:rsidRPr="00996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</w:t>
      </w:r>
      <w:r w:rsidRPr="00996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30EE316C" w14:textId="77777777" w:rsidR="009D1FA5" w:rsidRPr="00D9512C" w:rsidRDefault="009D1FA5" w:rsidP="009D1FA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EXCEPTIONS</w:t>
      </w:r>
    </w:p>
    <w:p w14:paraId="3CEAD10E" w14:textId="77777777" w:rsidR="009D1FA5" w:rsidRPr="00D9512C" w:rsidRDefault="009D1FA5" w:rsidP="009D1FA5">
      <w:pPr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sz w:val="24"/>
          <w:szCs w:val="24"/>
        </w:rPr>
        <w:t>The Executive Director may grant extensions of the time limitations in this policy for extenuating circumstances.</w:t>
      </w:r>
    </w:p>
    <w:p w14:paraId="1762D13E" w14:textId="77777777" w:rsidR="009D1FA5" w:rsidRPr="00D9512C" w:rsidRDefault="009D1FA5" w:rsidP="009D1FA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SUPERSESSION</w:t>
      </w: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501F21E" w14:textId="77777777" w:rsidR="009D1FA5" w:rsidRPr="00D9512C" w:rsidRDefault="009D1FA5" w:rsidP="009D1FA5">
      <w:pPr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5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policy supersedes Commission Compliance </w:t>
      </w:r>
      <w:r w:rsidRPr="00D9512C">
        <w:rPr>
          <w:rFonts w:ascii="Times New Roman" w:eastAsia="Times New Roman" w:hAnsi="Times New Roman" w:cs="Times New Roman"/>
          <w:sz w:val="24"/>
          <w:szCs w:val="24"/>
        </w:rPr>
        <w:t>Policies 51.406 and 51.410, dated August 14, 2020, and November 12, 2020, respectively.</w:t>
      </w:r>
    </w:p>
    <w:p w14:paraId="76B24462" w14:textId="77777777" w:rsidR="009D1FA5" w:rsidRPr="00D9512C" w:rsidRDefault="009D1FA5" w:rsidP="009D1FA5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65B7D" w14:textId="77777777" w:rsidR="009D1FA5" w:rsidRPr="00D9512C" w:rsidRDefault="009D1FA5" w:rsidP="009D1FA5">
      <w:pPr>
        <w:pStyle w:val="BodyText"/>
        <w:ind w:left="120"/>
        <w:rPr>
          <w:spacing w:val="-2"/>
        </w:rPr>
      </w:pPr>
      <w:r w:rsidRPr="00D9512C">
        <w:rPr>
          <w:noProof/>
        </w:rPr>
        <w:drawing>
          <wp:anchor distT="0" distB="0" distL="114300" distR="114300" simplePos="0" relativeHeight="251658242" behindDoc="1" locked="1" layoutInCell="1" allowOverlap="1" wp14:anchorId="044C3816" wp14:editId="3193E25C">
            <wp:simplePos x="0" y="0"/>
            <wp:positionH relativeFrom="column">
              <wp:posOffset>-342900</wp:posOffset>
            </wp:positionH>
            <wp:positionV relativeFrom="line">
              <wp:posOffset>-314325</wp:posOffset>
            </wp:positionV>
            <wp:extent cx="795020" cy="804545"/>
            <wp:effectExtent l="0" t="0" r="5080" b="0"/>
            <wp:wrapTight wrapText="bothSides">
              <wp:wrapPolygon edited="0">
                <wp:start x="0" y="0"/>
                <wp:lineTo x="0" y="20969"/>
                <wp:lineTo x="21220" y="20969"/>
                <wp:lineTo x="21220" y="0"/>
                <wp:lineTo x="0" y="0"/>
              </wp:wrapPolygon>
            </wp:wrapTight>
            <wp:docPr id="1552219446" name="Picture 15522194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19446" name="Picture 15522194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12C">
        <w:rPr>
          <w:b/>
          <w:bCs/>
          <w:spacing w:val="-2"/>
        </w:rPr>
        <w:t>APPROVED</w:t>
      </w:r>
      <w:r w:rsidRPr="00D9512C">
        <w:rPr>
          <w:spacing w:val="-2"/>
        </w:rPr>
        <w:t xml:space="preserve">: ____________________________ </w:t>
      </w:r>
      <w:r w:rsidRPr="00D9512C">
        <w:rPr>
          <w:b/>
          <w:bCs/>
          <w:spacing w:val="-2"/>
        </w:rPr>
        <w:t>Date</w:t>
      </w:r>
      <w:r w:rsidRPr="00D9512C">
        <w:rPr>
          <w:spacing w:val="-2"/>
        </w:rPr>
        <w:t>: __________________</w:t>
      </w:r>
    </w:p>
    <w:p w14:paraId="192095DE" w14:textId="77777777" w:rsidR="009D1FA5" w:rsidRPr="00D9512C" w:rsidRDefault="009D1FA5" w:rsidP="009D1FA5">
      <w:pPr>
        <w:pStyle w:val="BodyText"/>
        <w:ind w:left="120"/>
        <w:rPr>
          <w:b/>
          <w:bCs/>
          <w:spacing w:val="-2"/>
        </w:rPr>
      </w:pPr>
      <w:r w:rsidRPr="00D9512C">
        <w:rPr>
          <w:b/>
          <w:bCs/>
          <w:spacing w:val="-2"/>
        </w:rPr>
        <w:t xml:space="preserve">Kimberly M. Zeich </w:t>
      </w:r>
    </w:p>
    <w:p w14:paraId="122215C1" w14:textId="77777777" w:rsidR="009D1FA5" w:rsidRPr="00D9512C" w:rsidRDefault="009D1FA5" w:rsidP="009D1FA5">
      <w:pPr>
        <w:pStyle w:val="BodyText"/>
        <w:ind w:left="120"/>
        <w:rPr>
          <w:b/>
          <w:bCs/>
          <w:spacing w:val="-2"/>
        </w:rPr>
      </w:pPr>
      <w:r w:rsidRPr="00D9512C">
        <w:rPr>
          <w:b/>
          <w:bCs/>
          <w:spacing w:val="-2"/>
        </w:rPr>
        <w:t>Executive Director</w:t>
      </w:r>
    </w:p>
    <w:p w14:paraId="40A9581E" w14:textId="77777777" w:rsidR="009D1FA5" w:rsidRPr="00D9512C" w:rsidRDefault="009D1FA5" w:rsidP="009D1FA5">
      <w:r w:rsidRPr="00D9512C">
        <w:br w:type="page"/>
      </w:r>
    </w:p>
    <w:p w14:paraId="3BA649EB" w14:textId="77777777" w:rsidR="009D1FA5" w:rsidRPr="00FD17F1" w:rsidRDefault="009D1FA5" w:rsidP="009D1FA5">
      <w:pPr>
        <w:pStyle w:val="BodyText"/>
        <w:ind w:left="120"/>
        <w:rPr>
          <w:u w:val="single"/>
        </w:rPr>
      </w:pPr>
      <w:r w:rsidRPr="00FD17F1">
        <w:rPr>
          <w:u w:val="single"/>
        </w:rPr>
        <w:lastRenderedPageBreak/>
        <w:t>Attachment 1</w:t>
      </w:r>
    </w:p>
    <w:p w14:paraId="756EA019" w14:textId="77777777" w:rsidR="009D1FA5" w:rsidRPr="00FD17F1" w:rsidRDefault="009D1FA5" w:rsidP="009D1FA5">
      <w:pPr>
        <w:pStyle w:val="BodyText"/>
        <w:ind w:left="120"/>
      </w:pPr>
    </w:p>
    <w:p w14:paraId="3000D638" w14:textId="77777777" w:rsidR="009D1FA5" w:rsidRPr="00FD17F1" w:rsidRDefault="009D1FA5" w:rsidP="009D1FA5">
      <w:pPr>
        <w:pStyle w:val="BodyText"/>
        <w:ind w:left="120"/>
      </w:pPr>
      <w:r w:rsidRPr="00FD17F1">
        <w:t xml:space="preserve">To make a complaint or report, please contact the designated CNA or the </w:t>
      </w:r>
      <w:r>
        <w:t xml:space="preserve">U.S. AbilityOne </w:t>
      </w:r>
      <w:r w:rsidRPr="00FD17F1">
        <w:t xml:space="preserve">Commission through the following: </w:t>
      </w:r>
    </w:p>
    <w:p w14:paraId="2B26F4FE" w14:textId="77777777" w:rsidR="009D1FA5" w:rsidRPr="00FD17F1" w:rsidRDefault="009D1FA5" w:rsidP="009D1FA5">
      <w:pPr>
        <w:pStyle w:val="BodyText"/>
        <w:ind w:left="120"/>
      </w:pPr>
    </w:p>
    <w:p w14:paraId="1091752A" w14:textId="77777777" w:rsidR="009D1FA5" w:rsidRPr="00FD17F1" w:rsidRDefault="009D1FA5" w:rsidP="009D1FA5">
      <w:pPr>
        <w:pStyle w:val="BodyText"/>
        <w:ind w:left="120"/>
      </w:pPr>
      <w:r w:rsidRPr="00FD17F1">
        <w:t>[</w:t>
      </w:r>
      <w:r w:rsidRPr="008B75EC">
        <w:rPr>
          <w:i/>
          <w:iCs/>
        </w:rPr>
        <w:t>Designated CNA complaint, report, or mandatory disclosure system information will be inserted</w:t>
      </w:r>
      <w:r>
        <w:rPr>
          <w:i/>
          <w:iCs/>
        </w:rPr>
        <w:t xml:space="preserve"> here</w:t>
      </w:r>
      <w:r w:rsidRPr="00FD17F1">
        <w:t>]</w:t>
      </w:r>
    </w:p>
    <w:p w14:paraId="37488B46" w14:textId="77777777" w:rsidR="009D1FA5" w:rsidRPr="00FD17F1" w:rsidRDefault="009D1FA5" w:rsidP="009D1FA5">
      <w:pPr>
        <w:pStyle w:val="BodyText"/>
        <w:ind w:left="120"/>
      </w:pPr>
    </w:p>
    <w:p w14:paraId="7513CD0D" w14:textId="77777777" w:rsidR="009D1FA5" w:rsidRPr="00FD17F1" w:rsidRDefault="009D1FA5" w:rsidP="009D1FA5">
      <w:pPr>
        <w:pStyle w:val="BodyText"/>
        <w:ind w:left="120"/>
      </w:pPr>
      <w:r w:rsidRPr="00FD17F1">
        <w:t>[</w:t>
      </w:r>
      <w:r w:rsidRPr="008B75EC">
        <w:rPr>
          <w:i/>
          <w:iCs/>
        </w:rPr>
        <w:t>NIB information will be inserted</w:t>
      </w:r>
      <w:r>
        <w:rPr>
          <w:i/>
          <w:iCs/>
        </w:rPr>
        <w:t xml:space="preserve"> here</w:t>
      </w:r>
      <w:r w:rsidRPr="008B75EC">
        <w:rPr>
          <w:i/>
          <w:iCs/>
        </w:rPr>
        <w:t>]</w:t>
      </w:r>
    </w:p>
    <w:p w14:paraId="13AE56A6" w14:textId="77777777" w:rsidR="009D1FA5" w:rsidRPr="00FD17F1" w:rsidRDefault="009D1FA5" w:rsidP="009D1FA5">
      <w:pPr>
        <w:pStyle w:val="BodyText"/>
        <w:ind w:left="120"/>
      </w:pPr>
    </w:p>
    <w:p w14:paraId="223ED993" w14:textId="77777777" w:rsidR="009D1FA5" w:rsidRPr="00FD17F1" w:rsidRDefault="009D1FA5" w:rsidP="009D1FA5">
      <w:pPr>
        <w:pStyle w:val="BodyText"/>
        <w:ind w:left="120"/>
      </w:pPr>
      <w:r w:rsidRPr="00FD17F1">
        <w:t>[</w:t>
      </w:r>
      <w:r w:rsidRPr="008B75EC">
        <w:rPr>
          <w:i/>
          <w:iCs/>
        </w:rPr>
        <w:t>SourceAmerica information will be inserted</w:t>
      </w:r>
      <w:r>
        <w:rPr>
          <w:i/>
          <w:iCs/>
        </w:rPr>
        <w:t xml:space="preserve"> here</w:t>
      </w:r>
      <w:r w:rsidRPr="00FD17F1">
        <w:t>]</w:t>
      </w:r>
    </w:p>
    <w:p w14:paraId="602DA9E0" w14:textId="77777777" w:rsidR="009D1FA5" w:rsidRPr="00FD17F1" w:rsidRDefault="009D1FA5" w:rsidP="009D1FA5">
      <w:pPr>
        <w:pStyle w:val="BodyText"/>
        <w:ind w:left="120"/>
      </w:pPr>
    </w:p>
    <w:p w14:paraId="52DAEF89" w14:textId="77777777" w:rsidR="009D1FA5" w:rsidRPr="00FD17F1" w:rsidRDefault="009D1FA5" w:rsidP="009D1FA5">
      <w:pPr>
        <w:pStyle w:val="BodyText"/>
        <w:ind w:left="120"/>
      </w:pPr>
      <w:r>
        <w:t>[</w:t>
      </w:r>
      <w:r w:rsidRPr="00A53567">
        <w:rPr>
          <w:i/>
          <w:iCs/>
        </w:rPr>
        <w:t>complaints@abilityone.gov</w:t>
      </w:r>
      <w:r>
        <w:rPr>
          <w:i/>
          <w:iCs/>
        </w:rPr>
        <w:t xml:space="preserve"> </w:t>
      </w:r>
      <w:r w:rsidRPr="00A53567">
        <w:rPr>
          <w:i/>
          <w:iCs/>
        </w:rPr>
        <w:t>email address will be activated</w:t>
      </w:r>
      <w:r>
        <w:t xml:space="preserve">] </w:t>
      </w:r>
    </w:p>
    <w:p w14:paraId="34242998" w14:textId="77777777" w:rsidR="009D1FA5" w:rsidRPr="00D9512C" w:rsidRDefault="009D1FA5" w:rsidP="009D1FA5">
      <w:pPr>
        <w:pStyle w:val="BodyText"/>
        <w:ind w:left="120"/>
        <w:rPr>
          <w:b/>
          <w:bCs/>
        </w:rPr>
      </w:pPr>
    </w:p>
    <w:p w14:paraId="6A5C895A" w14:textId="77777777" w:rsidR="009D1FA5" w:rsidRPr="00D9512C" w:rsidRDefault="009D1FA5" w:rsidP="009D1FA5">
      <w:pPr>
        <w:pStyle w:val="BodyText"/>
        <w:ind w:left="120"/>
        <w:rPr>
          <w:b/>
          <w:bCs/>
        </w:rPr>
      </w:pPr>
    </w:p>
    <w:p w14:paraId="7B0E396D" w14:textId="77777777" w:rsidR="009D1FA5" w:rsidRPr="00D9512C" w:rsidRDefault="009D1FA5" w:rsidP="009D1FA5">
      <w:pPr>
        <w:pStyle w:val="BodyText"/>
        <w:ind w:left="120"/>
        <w:rPr>
          <w:b/>
          <w:bCs/>
        </w:rPr>
      </w:pPr>
    </w:p>
    <w:p w14:paraId="6BBE14D7" w14:textId="77777777" w:rsidR="009D1FA5" w:rsidRPr="00D9512C" w:rsidRDefault="009D1FA5" w:rsidP="009D1FA5">
      <w:pPr>
        <w:pStyle w:val="BodyText"/>
        <w:ind w:left="120"/>
        <w:rPr>
          <w:b/>
          <w:bCs/>
        </w:rPr>
      </w:pPr>
    </w:p>
    <w:p w14:paraId="76325AE3" w14:textId="77777777" w:rsidR="009D1FA5" w:rsidRPr="00D9512C" w:rsidRDefault="009D1FA5" w:rsidP="009D1FA5">
      <w:pPr>
        <w:pStyle w:val="BodyText"/>
        <w:ind w:left="120"/>
        <w:rPr>
          <w:b/>
          <w:bCs/>
        </w:rPr>
      </w:pPr>
    </w:p>
    <w:p w14:paraId="04D5AE21" w14:textId="77777777" w:rsidR="009D1FA5" w:rsidRPr="00D9512C" w:rsidRDefault="009D1FA5" w:rsidP="009D1FA5">
      <w:r w:rsidRPr="00D9512C">
        <w:br w:type="page"/>
      </w:r>
    </w:p>
    <w:p w14:paraId="1485DE9D" w14:textId="77777777" w:rsidR="009D1FA5" w:rsidRPr="00E35E8E" w:rsidRDefault="009D1FA5" w:rsidP="009D1FA5">
      <w:pPr>
        <w:pStyle w:val="BodyText"/>
        <w:ind w:left="120"/>
        <w:rPr>
          <w:u w:val="single"/>
        </w:rPr>
      </w:pPr>
      <w:r w:rsidRPr="00E35E8E">
        <w:rPr>
          <w:u w:val="single"/>
        </w:rPr>
        <w:lastRenderedPageBreak/>
        <w:t>Attachment 2</w:t>
      </w:r>
    </w:p>
    <w:p w14:paraId="6EB9F078" w14:textId="77777777" w:rsidR="009D1FA5" w:rsidRPr="00D9512C" w:rsidRDefault="009D1FA5" w:rsidP="009D1FA5">
      <w:pPr>
        <w:pStyle w:val="BodyText"/>
        <w:spacing w:before="120" w:after="120"/>
        <w:ind w:left="115"/>
      </w:pPr>
      <w:r w:rsidRPr="00D9512C">
        <w:t xml:space="preserve">If a complaint involves matters of employment policy, discrimination, affirmative action, sexual harassment, conditions of employment (including pay) or prohibited personnel practices, or if the complainant is an employee of a Federal contractor, the compliance team member will refer </w:t>
      </w:r>
      <w:r>
        <w:t xml:space="preserve">the individual </w:t>
      </w:r>
      <w:r w:rsidRPr="00D9512C">
        <w:t>to the following</w:t>
      </w:r>
      <w:r>
        <w:t xml:space="preserve"> resources</w:t>
      </w:r>
      <w:r w:rsidRPr="00D9512C">
        <w:t xml:space="preserve">: </w:t>
      </w:r>
    </w:p>
    <w:p w14:paraId="6E4B17B6" w14:textId="77777777" w:rsidR="009D1FA5" w:rsidRPr="00D9512C" w:rsidRDefault="009D1FA5" w:rsidP="009D1FA5">
      <w:pPr>
        <w:widowControl w:val="0"/>
        <w:numPr>
          <w:ilvl w:val="1"/>
          <w:numId w:val="4"/>
        </w:numPr>
        <w:spacing w:after="12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>OIG [</w:t>
      </w:r>
      <w:r w:rsidRPr="00D9512C">
        <w:rPr>
          <w:rFonts w:ascii="Times New Roman" w:hAnsi="Times New Roman" w:cs="Times New Roman"/>
          <w:i/>
          <w:iCs/>
          <w:sz w:val="24"/>
          <w:szCs w:val="24"/>
        </w:rPr>
        <w:t>OIG’s preferred contact method will be inserted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here</w:t>
      </w:r>
      <w:r w:rsidRPr="00D9512C">
        <w:rPr>
          <w:rFonts w:ascii="Times New Roman" w:hAnsi="Times New Roman" w:cs="Times New Roman"/>
          <w:sz w:val="24"/>
          <w:szCs w:val="24"/>
        </w:rPr>
        <w:t>]</w:t>
      </w:r>
    </w:p>
    <w:p w14:paraId="51D9A584" w14:textId="77777777" w:rsidR="009D1FA5" w:rsidRPr="00D9512C" w:rsidRDefault="009D1FA5" w:rsidP="009D1FA5">
      <w:pPr>
        <w:widowControl w:val="0"/>
        <w:numPr>
          <w:ilvl w:val="1"/>
          <w:numId w:val="4"/>
        </w:numPr>
        <w:spacing w:after="12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Contracting Officer </w:t>
      </w:r>
    </w:p>
    <w:p w14:paraId="25AF914C" w14:textId="77777777" w:rsidR="009D1FA5" w:rsidRPr="00D9512C" w:rsidRDefault="009D1FA5" w:rsidP="009D1FA5">
      <w:pPr>
        <w:widowControl w:val="0"/>
        <w:numPr>
          <w:ilvl w:val="1"/>
          <w:numId w:val="4"/>
        </w:numPr>
        <w:spacing w:after="12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State Employment Agency or other agency in the state where the complainant is employed. </w:t>
      </w:r>
    </w:p>
    <w:p w14:paraId="5B65CA01" w14:textId="67D61EED" w:rsidR="009D1FA5" w:rsidRPr="00D9512C" w:rsidRDefault="009D1FA5" w:rsidP="009D1FA5">
      <w:pPr>
        <w:widowControl w:val="0"/>
        <w:numPr>
          <w:ilvl w:val="1"/>
          <w:numId w:val="4"/>
        </w:numPr>
        <w:spacing w:after="12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Equal Employment Opportunity Commission (EEOC) Information regarding how to file a complaint and important deadline information is available at </w:t>
      </w:r>
      <w:hyperlink r:id="rId9" w:history="1">
        <w:r w:rsidRPr="00D9512C">
          <w:rPr>
            <w:rStyle w:val="Hyperlink"/>
            <w:rFonts w:ascii="Times New Roman" w:hAnsi="Times New Roman" w:cs="Times New Roman"/>
            <w:sz w:val="24"/>
            <w:szCs w:val="24"/>
          </w:rPr>
          <w:t>https://www.eeoc.gov/employees/howtofile.cfm</w:t>
        </w:r>
      </w:hyperlink>
      <w:r w:rsidRPr="00D951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036772" w14:textId="1C6D57B8" w:rsidR="009D1FA5" w:rsidRPr="00D9512C" w:rsidRDefault="009D1FA5" w:rsidP="009D1FA5">
      <w:pPr>
        <w:widowControl w:val="0"/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Complainants can also file a claim in person at any of the 53 EEOC field offices. The location of the nearest field office can be found at </w:t>
      </w:r>
      <w:hyperlink r:id="rId10" w:history="1">
        <w:r w:rsidRPr="00D9512C">
          <w:rPr>
            <w:rStyle w:val="Hyperlink"/>
            <w:rFonts w:ascii="Times New Roman" w:hAnsi="Times New Roman" w:cs="Times New Roman"/>
            <w:sz w:val="24"/>
            <w:szCs w:val="24"/>
          </w:rPr>
          <w:t>https://www.eeoc.gov/field/index.cfm</w:t>
        </w:r>
      </w:hyperlink>
      <w:r w:rsidRPr="00D9512C">
        <w:rPr>
          <w:rFonts w:ascii="Times New Roman" w:hAnsi="Times New Roman" w:cs="Times New Roman"/>
          <w:sz w:val="24"/>
          <w:szCs w:val="24"/>
        </w:rPr>
        <w:t>.</w:t>
      </w:r>
    </w:p>
    <w:p w14:paraId="7CA46D82" w14:textId="29CAFDB8" w:rsidR="009D1FA5" w:rsidRPr="00D9512C" w:rsidRDefault="009D1FA5" w:rsidP="009D1FA5">
      <w:pPr>
        <w:widowControl w:val="0"/>
        <w:numPr>
          <w:ilvl w:val="1"/>
          <w:numId w:val="4"/>
        </w:numPr>
        <w:spacing w:after="12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Wage and Hour Division, Department of Labor </w:t>
      </w:r>
      <w:hyperlink r:id="rId11" w:history="1">
        <w:r w:rsidRPr="00D9512C">
          <w:rPr>
            <w:rStyle w:val="Hyperlink"/>
            <w:rFonts w:ascii="Times New Roman" w:hAnsi="Times New Roman" w:cs="Times New Roman"/>
            <w:sz w:val="24"/>
            <w:szCs w:val="24"/>
          </w:rPr>
          <w:t>https://dol.gov/whd/contact_us.htm</w:t>
        </w:r>
      </w:hyperlink>
      <w:r w:rsidRPr="00D951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0A000C" w14:textId="77777777" w:rsidR="009D1FA5" w:rsidRPr="00D9512C" w:rsidRDefault="009D1FA5" w:rsidP="009D1FA5">
      <w:pPr>
        <w:widowControl w:val="0"/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1-866-4USWAGE (1-866-487-9243) </w:t>
      </w:r>
    </w:p>
    <w:p w14:paraId="59B0B4E2" w14:textId="77777777" w:rsidR="009D1FA5" w:rsidRPr="00D9512C" w:rsidRDefault="009D1FA5" w:rsidP="009D1FA5">
      <w:pPr>
        <w:widowControl w:val="0"/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TTY: 1-877-889-5627 </w:t>
      </w:r>
    </w:p>
    <w:p w14:paraId="6B182AD9" w14:textId="77777777" w:rsidR="009D1FA5" w:rsidRPr="00D9512C" w:rsidRDefault="009D1FA5" w:rsidP="009D1FA5">
      <w:pPr>
        <w:widowControl w:val="0"/>
        <w:numPr>
          <w:ilvl w:val="1"/>
          <w:numId w:val="4"/>
        </w:numPr>
        <w:spacing w:after="12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Office of Federal Contract Compliance Programs </w:t>
      </w:r>
    </w:p>
    <w:p w14:paraId="1930C47D" w14:textId="77777777" w:rsidR="009D1FA5" w:rsidRPr="00D9512C" w:rsidRDefault="009D1FA5" w:rsidP="009D1FA5">
      <w:pPr>
        <w:widowControl w:val="0"/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U.S. Department of Labor </w:t>
      </w:r>
    </w:p>
    <w:p w14:paraId="7EEEBA69" w14:textId="77777777" w:rsidR="009D1FA5" w:rsidRPr="00D9512C" w:rsidRDefault="009D1FA5" w:rsidP="009D1FA5">
      <w:pPr>
        <w:widowControl w:val="0"/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200 Constitution Avenue, N.W. </w:t>
      </w:r>
    </w:p>
    <w:p w14:paraId="27724788" w14:textId="77777777" w:rsidR="009D1FA5" w:rsidRPr="00D9512C" w:rsidRDefault="009D1FA5" w:rsidP="009D1FA5">
      <w:pPr>
        <w:widowControl w:val="0"/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Washington, D.C. 20210 </w:t>
      </w:r>
    </w:p>
    <w:p w14:paraId="662EE9C5" w14:textId="2E3FBC94" w:rsidR="009D1FA5" w:rsidRPr="00D9512C" w:rsidRDefault="009D1FA5" w:rsidP="009D1FA5">
      <w:pPr>
        <w:widowControl w:val="0"/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>1-800-39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512C">
        <w:rPr>
          <w:rFonts w:ascii="Times New Roman" w:hAnsi="Times New Roman" w:cs="Times New Roman"/>
          <w:sz w:val="24"/>
          <w:szCs w:val="24"/>
        </w:rPr>
        <w:t xml:space="preserve">-6251 (toll-free) </w:t>
      </w:r>
    </w:p>
    <w:p w14:paraId="30CB21B4" w14:textId="77777777" w:rsidR="009D1FA5" w:rsidRPr="00D9512C" w:rsidRDefault="009D1FA5" w:rsidP="009D1FA5">
      <w:pPr>
        <w:widowControl w:val="0"/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(202) 693-1377 (TTY) </w:t>
      </w:r>
    </w:p>
    <w:p w14:paraId="7BD8C8E2" w14:textId="66E5C4D1" w:rsidR="009D1FA5" w:rsidRPr="00D9512C" w:rsidRDefault="00975FCA" w:rsidP="009D1FA5">
      <w:pPr>
        <w:widowControl w:val="0"/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D1FA5" w:rsidRPr="00D9512C">
          <w:rPr>
            <w:rStyle w:val="Hyperlink"/>
            <w:rFonts w:ascii="Times New Roman" w:hAnsi="Times New Roman" w:cs="Times New Roman"/>
            <w:sz w:val="24"/>
            <w:szCs w:val="24"/>
          </w:rPr>
          <w:t>OFCCP-Public@dol.gov</w:t>
        </w:r>
      </w:hyperlink>
      <w:r w:rsidR="009D1FA5" w:rsidRPr="00D95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F85C7" w14:textId="17BC6F0E" w:rsidR="009D1FA5" w:rsidRPr="001E0DAD" w:rsidRDefault="009D1FA5" w:rsidP="009D1FA5">
      <w:pPr>
        <w:widowControl w:val="0"/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9512C">
        <w:rPr>
          <w:rFonts w:ascii="Times New Roman" w:hAnsi="Times New Roman" w:cs="Times New Roman"/>
          <w:sz w:val="24"/>
          <w:szCs w:val="24"/>
        </w:rPr>
        <w:t xml:space="preserve">A directory of regional offices can be found at </w:t>
      </w:r>
      <w:hyperlink r:id="rId13" w:history="1">
        <w:r w:rsidRPr="00D9512C">
          <w:rPr>
            <w:rStyle w:val="Hyperlink"/>
            <w:rFonts w:ascii="Times New Roman" w:hAnsi="Times New Roman" w:cs="Times New Roman"/>
            <w:sz w:val="24"/>
            <w:szCs w:val="24"/>
          </w:rPr>
          <w:t>https://www.dol.gov/ofccp/contacts/regkeyp.htm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37DDD" w14:textId="77777777" w:rsidR="006B19A8" w:rsidRDefault="006B19A8"/>
    <w:sectPr w:rsidR="006B19A8" w:rsidSect="009D1F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2FAB6" w14:textId="77777777" w:rsidR="00AE6B45" w:rsidRDefault="00AE6B45">
      <w:pPr>
        <w:spacing w:after="0" w:line="240" w:lineRule="auto"/>
      </w:pPr>
      <w:r>
        <w:separator/>
      </w:r>
    </w:p>
  </w:endnote>
  <w:endnote w:type="continuationSeparator" w:id="0">
    <w:p w14:paraId="50CDFFD6" w14:textId="77777777" w:rsidR="00AE6B45" w:rsidRDefault="00AE6B45">
      <w:pPr>
        <w:spacing w:after="0" w:line="240" w:lineRule="auto"/>
      </w:pPr>
      <w:r>
        <w:continuationSeparator/>
      </w:r>
    </w:p>
  </w:endnote>
  <w:endnote w:type="continuationNotice" w:id="1">
    <w:p w14:paraId="6D623B48" w14:textId="77777777" w:rsidR="00AE6B45" w:rsidRDefault="00AE6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E111A" w14:textId="77777777" w:rsidR="003D66B9" w:rsidRDefault="003D66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5BEF" w14:textId="77777777" w:rsidR="003D66B9" w:rsidRDefault="003D66B9">
    <w:pPr>
      <w:pStyle w:val="Footer"/>
      <w:jc w:val="right"/>
    </w:pPr>
  </w:p>
  <w:p w14:paraId="0385D457" w14:textId="77777777" w:rsidR="003D66B9" w:rsidRDefault="003D66B9">
    <w:pPr>
      <w:jc w:val="center"/>
      <w:rPr>
        <w:rFonts w:ascii="Arial" w:eastAsia="Arial" w:hAnsi="Arial" w:cs="Arial"/>
        <w:b/>
        <w:color w:val="0070C0"/>
        <w:sz w:val="15"/>
        <w:szCs w:val="15"/>
      </w:rPr>
    </w:pPr>
    <w:r>
      <w:rPr>
        <w:rFonts w:ascii="Arial" w:eastAsia="Arial" w:hAnsi="Arial" w:cs="Arial"/>
        <w:sz w:val="15"/>
        <w:szCs w:val="15"/>
      </w:rPr>
      <w:t xml:space="preserve">     </w:t>
    </w:r>
    <w:r>
      <w:rPr>
        <w:rFonts w:ascii="Arial" w:eastAsia="Arial" w:hAnsi="Arial" w:cs="Arial"/>
        <w:b/>
        <w:color w:val="0070C0"/>
        <w:sz w:val="15"/>
        <w:szCs w:val="15"/>
      </w:rPr>
      <w:t>___________________________________________________________________________</w:t>
    </w:r>
  </w:p>
  <w:p w14:paraId="402FD277" w14:textId="77777777" w:rsidR="003D66B9" w:rsidRDefault="003D66B9">
    <w:pPr>
      <w:tabs>
        <w:tab w:val="center" w:pos="4680"/>
        <w:tab w:val="right" w:pos="9360"/>
      </w:tabs>
      <w:spacing w:before="60" w:after="60"/>
      <w:ind w:left="-180" w:right="-180"/>
      <w:jc w:val="center"/>
      <w:rPr>
        <w:sz w:val="27"/>
        <w:szCs w:val="27"/>
      </w:rPr>
    </w:pPr>
    <w:r>
      <w:rPr>
        <w:rFonts w:ascii="Arial" w:eastAsia="Arial" w:hAnsi="Arial" w:cs="Arial"/>
        <w:b/>
        <w:color w:val="002060"/>
        <w:sz w:val="16"/>
        <w:szCs w:val="16"/>
      </w:rPr>
      <w:t>The Committee for Purchase From People Who Are Blind or Severely Disabled operates as the U.S. AbilityOne Commission</w:t>
    </w:r>
    <w:r>
      <w:rPr>
        <w:noProof/>
      </w:rPr>
      <w:drawing>
        <wp:anchor distT="114300" distB="114300" distL="114300" distR="114300" simplePos="0" relativeHeight="251658243" behindDoc="0" locked="0" layoutInCell="1" hidden="0" allowOverlap="1" wp14:anchorId="30C926F5" wp14:editId="2FE84EBC">
          <wp:simplePos x="0" y="0"/>
          <wp:positionH relativeFrom="column">
            <wp:posOffset>6070600</wp:posOffset>
          </wp:positionH>
          <wp:positionV relativeFrom="paragraph">
            <wp:posOffset>352425</wp:posOffset>
          </wp:positionV>
          <wp:extent cx="418921" cy="410542"/>
          <wp:effectExtent l="0" t="0" r="0" b="0"/>
          <wp:wrapNone/>
          <wp:docPr id="18" name="Picture 18" descr="U.S. AbilityOne Commission Seal. Gold circle with blue background, lit torch, and 15 white stars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U.S. AbilityOne Commission Seal. Gold circle with blue background, lit torch, and 15 white stars.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921" cy="410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4" behindDoc="1" locked="0" layoutInCell="1" hidden="0" allowOverlap="1" wp14:anchorId="7E2151F1" wp14:editId="5F518DF9">
          <wp:simplePos x="0" y="0"/>
          <wp:positionH relativeFrom="column">
            <wp:posOffset>95251</wp:posOffset>
          </wp:positionH>
          <wp:positionV relativeFrom="paragraph">
            <wp:posOffset>409575</wp:posOffset>
          </wp:positionV>
          <wp:extent cx="476250" cy="298665"/>
          <wp:effectExtent l="0" t="0" r="0" b="0"/>
          <wp:wrapNone/>
          <wp:docPr id="23" name="Picture 23" descr="Square, red white and blue Logo for AbilityOne Program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Square, red white and blue Logo for AbilityOne Program. 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29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A9F64D" w14:textId="77777777" w:rsidR="003D66B9" w:rsidRDefault="003D66B9">
    <w:pPr>
      <w:jc w:val="center"/>
      <w:rPr>
        <w:color w:val="000000"/>
      </w:rPr>
    </w:pPr>
    <w:r w:rsidRPr="00653D6C">
      <w:rPr>
        <w:rFonts w:ascii="Times New Roman" w:hAnsi="Times New Roman" w:cs="Times New Roman"/>
        <w:sz w:val="24"/>
        <w:szCs w:val="24"/>
      </w:rPr>
      <w:fldChar w:fldCharType="begin"/>
    </w:r>
    <w:r w:rsidRPr="00653D6C">
      <w:rPr>
        <w:rFonts w:ascii="Times New Roman" w:hAnsi="Times New Roman" w:cs="Times New Roman"/>
        <w:sz w:val="24"/>
        <w:szCs w:val="24"/>
      </w:rPr>
      <w:instrText>PAGE</w:instrText>
    </w:r>
    <w:r w:rsidRPr="00653D6C">
      <w:rPr>
        <w:rFonts w:ascii="Times New Roman" w:hAnsi="Times New Roman" w:cs="Times New Roman"/>
        <w:sz w:val="24"/>
        <w:szCs w:val="24"/>
      </w:rPr>
      <w:fldChar w:fldCharType="separate"/>
    </w:r>
    <w:r w:rsidRPr="00653D6C">
      <w:rPr>
        <w:rFonts w:ascii="Times New Roman" w:hAnsi="Times New Roman" w:cs="Times New Roman"/>
        <w:sz w:val="24"/>
        <w:szCs w:val="24"/>
      </w:rPr>
      <w:t>1</w:t>
    </w:r>
    <w:r w:rsidRPr="00653D6C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114E0" w14:textId="77777777" w:rsidR="003D66B9" w:rsidRDefault="003D66B9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360"/>
        <w:tab w:val="left" w:pos="1080"/>
        <w:tab w:val="left" w:pos="8820"/>
      </w:tabs>
      <w:spacing w:after="120" w:line="240" w:lineRule="auto"/>
      <w:rPr>
        <w:rFonts w:ascii="Times New Roman" w:eastAsia="Times New Roman" w:hAnsi="Times New Roman" w:cs="Times New Roman"/>
        <w:b/>
        <w:color w:val="0070C0"/>
        <w:sz w:val="24"/>
        <w:szCs w:val="24"/>
      </w:rPr>
    </w:pPr>
    <w:r>
      <w:rPr>
        <w:rFonts w:ascii="Times New Roman" w:eastAsia="Times New Roman" w:hAnsi="Times New Roman" w:cs="Times New Roman"/>
        <w:b/>
        <w:color w:val="0070C0"/>
        <w:sz w:val="24"/>
        <w:szCs w:val="24"/>
      </w:rPr>
      <w:t>___________________________________________________________________________</w:t>
    </w:r>
  </w:p>
  <w:p w14:paraId="1D0AABFF" w14:textId="77777777" w:rsidR="003D66B9" w:rsidRDefault="003D66B9">
    <w:pPr>
      <w:spacing w:before="60" w:after="60"/>
      <w:ind w:left="-187" w:right="-187"/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16"/>
        <w:szCs w:val="16"/>
      </w:rPr>
      <w:t>The Committee for Purchase From People Who Are Blind or Severely Disabled operates as the U.S. AbilityOne Commission</w:t>
    </w:r>
  </w:p>
  <w:p w14:paraId="3D750837" w14:textId="77777777" w:rsidR="003D66B9" w:rsidRDefault="003D66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1" locked="0" layoutInCell="1" hidden="0" allowOverlap="1" wp14:anchorId="3A9D05DF" wp14:editId="34F70A8A">
          <wp:simplePos x="0" y="0"/>
          <wp:positionH relativeFrom="margin">
            <wp:posOffset>5886450</wp:posOffset>
          </wp:positionH>
          <wp:positionV relativeFrom="paragraph">
            <wp:posOffset>13335</wp:posOffset>
          </wp:positionV>
          <wp:extent cx="419735" cy="407670"/>
          <wp:effectExtent l="0" t="0" r="0" b="0"/>
          <wp:wrapNone/>
          <wp:docPr id="763313131" name="Picture 763313131" descr="Description: Description: Committee Seal Torch with 15 stars on a blue backgrou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escription: Description: Committee Seal Torch with 15 stars on a blue backgrou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73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color w:val="000000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045C1166" wp14:editId="5B14318C">
          <wp:simplePos x="0" y="0"/>
          <wp:positionH relativeFrom="column">
            <wp:posOffset>-356408</wp:posOffset>
          </wp:positionH>
          <wp:positionV relativeFrom="paragraph">
            <wp:posOffset>0</wp:posOffset>
          </wp:positionV>
          <wp:extent cx="465455" cy="289560"/>
          <wp:effectExtent l="0" t="0" r="0" b="0"/>
          <wp:wrapSquare wrapText="bothSides" distT="0" distB="0" distL="114300" distR="114300"/>
          <wp:docPr id="1279547655" name="Picture 1279547655" descr="Square, red white and blue Logo for AbilityOne Program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547655" name="Picture 1279547655" descr="Square, red white and blue Logo for AbilityOne Program. 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455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05541" w14:textId="77777777" w:rsidR="00AE6B45" w:rsidRDefault="00AE6B45">
      <w:pPr>
        <w:spacing w:after="0" w:line="240" w:lineRule="auto"/>
      </w:pPr>
      <w:r>
        <w:separator/>
      </w:r>
    </w:p>
  </w:footnote>
  <w:footnote w:type="continuationSeparator" w:id="0">
    <w:p w14:paraId="2CCD75B7" w14:textId="77777777" w:rsidR="00AE6B45" w:rsidRDefault="00AE6B45">
      <w:pPr>
        <w:spacing w:after="0" w:line="240" w:lineRule="auto"/>
      </w:pPr>
      <w:r>
        <w:continuationSeparator/>
      </w:r>
    </w:p>
  </w:footnote>
  <w:footnote w:type="continuationNotice" w:id="1">
    <w:p w14:paraId="199FB42C" w14:textId="77777777" w:rsidR="00AE6B45" w:rsidRDefault="00AE6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723B" w14:textId="77777777" w:rsidR="003D66B9" w:rsidRDefault="003D66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E728" w14:textId="77777777" w:rsidR="003D66B9" w:rsidRDefault="003D66B9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360"/>
        <w:tab w:val="left" w:pos="1080"/>
        <w:tab w:val="left" w:pos="882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U.S. ABILITYONE COMMISSION</w:t>
    </w:r>
  </w:p>
  <w:p w14:paraId="77ABB07C" w14:textId="0B023FF2" w:rsidR="003D66B9" w:rsidRDefault="003D66B9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360"/>
        <w:tab w:val="left" w:pos="1080"/>
        <w:tab w:val="left" w:pos="882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 xml:space="preserve">Policy 51.406 </w:t>
    </w:r>
    <w:r w:rsidR="00975FCA">
      <w:rPr>
        <w:rFonts w:ascii="Times New Roman" w:eastAsia="Times New Roman" w:hAnsi="Times New Roman" w:cs="Times New Roman"/>
        <w:i/>
        <w:color w:val="000000"/>
        <w:sz w:val="24"/>
        <w:szCs w:val="24"/>
      </w:rPr>
      <w:t xml:space="preserve">Covered </w:t>
    </w: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 xml:space="preserve">Employee Rights, Mandatory Disclosures, </w:t>
    </w: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br/>
      <w:t xml:space="preserve">Reporting Procedures, and Follow-Up Actions </w:t>
    </w:r>
  </w:p>
  <w:p w14:paraId="109E85C7" w14:textId="77777777" w:rsidR="003D66B9" w:rsidRDefault="003D66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180E" w14:textId="77777777" w:rsidR="003D66B9" w:rsidRDefault="003D66B9">
    <w:pPr>
      <w:tabs>
        <w:tab w:val="left" w:pos="3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82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64E39173" w14:textId="77777777" w:rsidR="003D66B9" w:rsidRDefault="003D66B9">
    <w:pPr>
      <w:tabs>
        <w:tab w:val="left" w:pos="3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82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U.S. ABILITYONE COMMISSION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6C07A5F" wp14:editId="31238473">
          <wp:simplePos x="0" y="0"/>
          <wp:positionH relativeFrom="column">
            <wp:posOffset>69216</wp:posOffset>
          </wp:positionH>
          <wp:positionV relativeFrom="paragraph">
            <wp:posOffset>-88264</wp:posOffset>
          </wp:positionV>
          <wp:extent cx="762000" cy="762000"/>
          <wp:effectExtent l="0" t="0" r="0" b="0"/>
          <wp:wrapSquare wrapText="bothSides" distT="0" distB="0" distL="114300" distR="114300"/>
          <wp:docPr id="1686262473" name="Picture 1686262473" descr="blue circle logo for U.S. AbilityOne Commission. Top half of circle red and white stripes, bottom half blue background with 15 white stars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262473" name="Picture 1686262473" descr="blue circle logo for U.S. AbilityOne Commission. Top half of circle red and white stripes, bottom half blue background with 15 white stars.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4FC3BE" w14:textId="77777777" w:rsidR="003D66B9" w:rsidRDefault="003D66B9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360"/>
        <w:tab w:val="left" w:pos="1080"/>
        <w:tab w:val="left" w:pos="882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i/>
        <w:color w:val="000000"/>
        <w:sz w:val="24"/>
        <w:szCs w:val="24"/>
      </w:rPr>
    </w:pPr>
  </w:p>
  <w:p w14:paraId="54151721" w14:textId="77777777" w:rsidR="003D66B9" w:rsidRDefault="003D66B9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360"/>
        <w:tab w:val="left" w:pos="1080"/>
        <w:tab w:val="left" w:pos="882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i/>
        <w:color w:val="000000"/>
        <w:sz w:val="24"/>
        <w:szCs w:val="24"/>
      </w:rPr>
    </w:pPr>
  </w:p>
  <w:p w14:paraId="4825354A" w14:textId="77777777" w:rsidR="003D66B9" w:rsidRDefault="003D66B9">
    <w:pPr>
      <w:tabs>
        <w:tab w:val="left" w:pos="3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82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Policy 51.406</w:t>
    </w:r>
  </w:p>
  <w:p w14:paraId="567A2BBA" w14:textId="77777777" w:rsidR="003D66B9" w:rsidRDefault="003D66B9">
    <w:pPr>
      <w:tabs>
        <w:tab w:val="left" w:pos="3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820"/>
        <w:tab w:val="right" w:pos="9360"/>
      </w:tabs>
      <w:spacing w:after="12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Effective Date: 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58B5"/>
    <w:multiLevelType w:val="multilevel"/>
    <w:tmpl w:val="BEF42E56"/>
    <w:lvl w:ilvl="0">
      <w:start w:val="1"/>
      <w:numFmt w:val="lowerRoman"/>
      <w:lvlText w:val="%1."/>
      <w:lvlJc w:val="righ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306AD"/>
    <w:multiLevelType w:val="multilevel"/>
    <w:tmpl w:val="9134EDD4"/>
    <w:lvl w:ilvl="0">
      <w:start w:val="1"/>
      <w:numFmt w:val="lowerRoman"/>
      <w:lvlText w:val="%1."/>
      <w:lvlJc w:val="righ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03EE0"/>
    <w:multiLevelType w:val="multilevel"/>
    <w:tmpl w:val="B55279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5944"/>
    <w:multiLevelType w:val="multilevel"/>
    <w:tmpl w:val="B55279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1DF8"/>
    <w:multiLevelType w:val="multilevel"/>
    <w:tmpl w:val="2D06A4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F0C07"/>
    <w:multiLevelType w:val="hybridMultilevel"/>
    <w:tmpl w:val="27D20896"/>
    <w:lvl w:ilvl="0" w:tplc="FFFFFFFF">
      <w:start w:val="1"/>
      <w:numFmt w:val="low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4AD13BD"/>
    <w:multiLevelType w:val="multilevel"/>
    <w:tmpl w:val="B55279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D7638"/>
    <w:multiLevelType w:val="hybridMultilevel"/>
    <w:tmpl w:val="789675A8"/>
    <w:lvl w:ilvl="0" w:tplc="1DF45E36">
      <w:start w:val="1"/>
      <w:numFmt w:val="lowerRoman"/>
      <w:lvlText w:val="%1."/>
      <w:lvlJc w:val="right"/>
      <w:pPr>
        <w:ind w:left="720" w:hanging="360"/>
      </w:pPr>
    </w:lvl>
    <w:lvl w:ilvl="1" w:tplc="9B7A2B04">
      <w:start w:val="1"/>
      <w:numFmt w:val="lowerLetter"/>
      <w:lvlText w:val="%2."/>
      <w:lvlJc w:val="left"/>
      <w:pPr>
        <w:ind w:left="1440" w:hanging="360"/>
      </w:pPr>
    </w:lvl>
    <w:lvl w:ilvl="2" w:tplc="B01E1A1E">
      <w:start w:val="1"/>
      <w:numFmt w:val="lowerLetter"/>
      <w:lvlText w:val="%3."/>
      <w:lvlJc w:val="left"/>
      <w:pPr>
        <w:ind w:left="2340" w:hanging="360"/>
      </w:pPr>
    </w:lvl>
    <w:lvl w:ilvl="3" w:tplc="77964424">
      <w:start w:val="1"/>
      <w:numFmt w:val="decimal"/>
      <w:lvlText w:val="%4."/>
      <w:lvlJc w:val="left"/>
      <w:pPr>
        <w:ind w:left="2880" w:hanging="360"/>
      </w:pPr>
    </w:lvl>
    <w:lvl w:ilvl="4" w:tplc="6A5A86EE">
      <w:start w:val="1"/>
      <w:numFmt w:val="lowerLetter"/>
      <w:lvlText w:val="%5."/>
      <w:lvlJc w:val="left"/>
      <w:pPr>
        <w:ind w:left="3600" w:hanging="360"/>
      </w:pPr>
    </w:lvl>
    <w:lvl w:ilvl="5" w:tplc="D1F4FD3C">
      <w:start w:val="1"/>
      <w:numFmt w:val="lowerRoman"/>
      <w:lvlText w:val="%6."/>
      <w:lvlJc w:val="right"/>
      <w:pPr>
        <w:ind w:left="4320" w:hanging="180"/>
      </w:pPr>
    </w:lvl>
    <w:lvl w:ilvl="6" w:tplc="88383CCC">
      <w:start w:val="1"/>
      <w:numFmt w:val="decimal"/>
      <w:lvlText w:val="%7."/>
      <w:lvlJc w:val="left"/>
      <w:pPr>
        <w:ind w:left="5040" w:hanging="360"/>
      </w:pPr>
    </w:lvl>
    <w:lvl w:ilvl="7" w:tplc="DB68AB9A">
      <w:start w:val="1"/>
      <w:numFmt w:val="lowerLetter"/>
      <w:lvlText w:val="%8."/>
      <w:lvlJc w:val="left"/>
      <w:pPr>
        <w:ind w:left="5760" w:hanging="360"/>
      </w:pPr>
    </w:lvl>
    <w:lvl w:ilvl="8" w:tplc="B022A0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C1CC8"/>
    <w:multiLevelType w:val="hybridMultilevel"/>
    <w:tmpl w:val="77AA3334"/>
    <w:lvl w:ilvl="0" w:tplc="0409001B">
      <w:start w:val="1"/>
      <w:numFmt w:val="lowerRoman"/>
      <w:lvlText w:val="%1."/>
      <w:lvlJc w:val="right"/>
      <w:pPr>
        <w:ind w:left="1342" w:hanging="360"/>
      </w:pPr>
    </w:lvl>
    <w:lvl w:ilvl="1" w:tplc="04090011">
      <w:start w:val="1"/>
      <w:numFmt w:val="decimal"/>
      <w:lvlText w:val="%2)"/>
      <w:lvlJc w:val="left"/>
      <w:pPr>
        <w:ind w:left="2062" w:hanging="360"/>
      </w:pPr>
    </w:lvl>
    <w:lvl w:ilvl="2" w:tplc="0409001B">
      <w:start w:val="1"/>
      <w:numFmt w:val="lowerRoman"/>
      <w:lvlText w:val="%3."/>
      <w:lvlJc w:val="right"/>
      <w:pPr>
        <w:ind w:left="2782" w:hanging="180"/>
      </w:pPr>
    </w:lvl>
    <w:lvl w:ilvl="3" w:tplc="0409000F" w:tentative="1">
      <w:start w:val="1"/>
      <w:numFmt w:val="decimal"/>
      <w:lvlText w:val="%4."/>
      <w:lvlJc w:val="left"/>
      <w:pPr>
        <w:ind w:left="3502" w:hanging="360"/>
      </w:pPr>
    </w:lvl>
    <w:lvl w:ilvl="4" w:tplc="04090019" w:tentative="1">
      <w:start w:val="1"/>
      <w:numFmt w:val="lowerLetter"/>
      <w:lvlText w:val="%5."/>
      <w:lvlJc w:val="left"/>
      <w:pPr>
        <w:ind w:left="4222" w:hanging="360"/>
      </w:pPr>
    </w:lvl>
    <w:lvl w:ilvl="5" w:tplc="0409001B" w:tentative="1">
      <w:start w:val="1"/>
      <w:numFmt w:val="lowerRoman"/>
      <w:lvlText w:val="%6."/>
      <w:lvlJc w:val="right"/>
      <w:pPr>
        <w:ind w:left="4942" w:hanging="180"/>
      </w:pPr>
    </w:lvl>
    <w:lvl w:ilvl="6" w:tplc="0409000F" w:tentative="1">
      <w:start w:val="1"/>
      <w:numFmt w:val="decimal"/>
      <w:lvlText w:val="%7."/>
      <w:lvlJc w:val="left"/>
      <w:pPr>
        <w:ind w:left="5662" w:hanging="360"/>
      </w:pPr>
    </w:lvl>
    <w:lvl w:ilvl="7" w:tplc="04090019" w:tentative="1">
      <w:start w:val="1"/>
      <w:numFmt w:val="lowerLetter"/>
      <w:lvlText w:val="%8."/>
      <w:lvlJc w:val="left"/>
      <w:pPr>
        <w:ind w:left="6382" w:hanging="360"/>
      </w:pPr>
    </w:lvl>
    <w:lvl w:ilvl="8" w:tplc="04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9" w15:restartNumberingAfterBreak="0">
    <w:nsid w:val="4B4427BB"/>
    <w:multiLevelType w:val="hybridMultilevel"/>
    <w:tmpl w:val="E2128044"/>
    <w:lvl w:ilvl="0" w:tplc="1BB8BF2E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8037C"/>
    <w:multiLevelType w:val="multilevel"/>
    <w:tmpl w:val="B55279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16080"/>
    <w:multiLevelType w:val="hybridMultilevel"/>
    <w:tmpl w:val="9472573E"/>
    <w:lvl w:ilvl="0" w:tplc="9B7A2B04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C0C20"/>
    <w:multiLevelType w:val="multilevel"/>
    <w:tmpl w:val="9134EDD4"/>
    <w:lvl w:ilvl="0">
      <w:start w:val="1"/>
      <w:numFmt w:val="lowerRoman"/>
      <w:lvlText w:val="%1."/>
      <w:lvlJc w:val="righ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912D7E"/>
    <w:multiLevelType w:val="multilevel"/>
    <w:tmpl w:val="B55279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82022"/>
    <w:multiLevelType w:val="multilevel"/>
    <w:tmpl w:val="77963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674735">
    <w:abstractNumId w:val="0"/>
  </w:num>
  <w:num w:numId="2" w16cid:durableId="1940215254">
    <w:abstractNumId w:val="12"/>
  </w:num>
  <w:num w:numId="3" w16cid:durableId="1997488213">
    <w:abstractNumId w:val="10"/>
  </w:num>
  <w:num w:numId="4" w16cid:durableId="1300454641">
    <w:abstractNumId w:val="4"/>
  </w:num>
  <w:num w:numId="5" w16cid:durableId="1575701226">
    <w:abstractNumId w:val="1"/>
  </w:num>
  <w:num w:numId="6" w16cid:durableId="2084788475">
    <w:abstractNumId w:val="6"/>
  </w:num>
  <w:num w:numId="7" w16cid:durableId="2135831965">
    <w:abstractNumId w:val="13"/>
  </w:num>
  <w:num w:numId="8" w16cid:durableId="1574849938">
    <w:abstractNumId w:val="2"/>
  </w:num>
  <w:num w:numId="9" w16cid:durableId="1066028614">
    <w:abstractNumId w:val="3"/>
  </w:num>
  <w:num w:numId="10" w16cid:durableId="336153617">
    <w:abstractNumId w:val="7"/>
  </w:num>
  <w:num w:numId="11" w16cid:durableId="1703094576">
    <w:abstractNumId w:val="9"/>
  </w:num>
  <w:num w:numId="12" w16cid:durableId="1910840442">
    <w:abstractNumId w:val="14"/>
  </w:num>
  <w:num w:numId="13" w16cid:durableId="924805698">
    <w:abstractNumId w:val="8"/>
  </w:num>
  <w:num w:numId="14" w16cid:durableId="604769430">
    <w:abstractNumId w:val="5"/>
  </w:num>
  <w:num w:numId="15" w16cid:durableId="1612742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A5"/>
    <w:rsid w:val="000216DE"/>
    <w:rsid w:val="00023021"/>
    <w:rsid w:val="0004186D"/>
    <w:rsid w:val="0005674C"/>
    <w:rsid w:val="0006328B"/>
    <w:rsid w:val="00087913"/>
    <w:rsid w:val="000962AF"/>
    <w:rsid w:val="000971AD"/>
    <w:rsid w:val="000D54E9"/>
    <w:rsid w:val="000F12BE"/>
    <w:rsid w:val="000F66C2"/>
    <w:rsid w:val="000F7119"/>
    <w:rsid w:val="00101A83"/>
    <w:rsid w:val="00123E49"/>
    <w:rsid w:val="00124F35"/>
    <w:rsid w:val="001409E3"/>
    <w:rsid w:val="00144324"/>
    <w:rsid w:val="00173179"/>
    <w:rsid w:val="00196851"/>
    <w:rsid w:val="001A2584"/>
    <w:rsid w:val="001A33D7"/>
    <w:rsid w:val="001C0D11"/>
    <w:rsid w:val="001C2873"/>
    <w:rsid w:val="001C4127"/>
    <w:rsid w:val="001D0E94"/>
    <w:rsid w:val="001E23B9"/>
    <w:rsid w:val="00206FB5"/>
    <w:rsid w:val="00213008"/>
    <w:rsid w:val="00250B60"/>
    <w:rsid w:val="00251551"/>
    <w:rsid w:val="00262570"/>
    <w:rsid w:val="002732C2"/>
    <w:rsid w:val="002739C2"/>
    <w:rsid w:val="0027423C"/>
    <w:rsid w:val="00290AEA"/>
    <w:rsid w:val="002B7D11"/>
    <w:rsid w:val="002D4BCB"/>
    <w:rsid w:val="002D5359"/>
    <w:rsid w:val="002E6D95"/>
    <w:rsid w:val="003163C3"/>
    <w:rsid w:val="00330670"/>
    <w:rsid w:val="00337569"/>
    <w:rsid w:val="00343740"/>
    <w:rsid w:val="00373FB3"/>
    <w:rsid w:val="00386595"/>
    <w:rsid w:val="003937B4"/>
    <w:rsid w:val="003A3ECF"/>
    <w:rsid w:val="003B280A"/>
    <w:rsid w:val="003D0F39"/>
    <w:rsid w:val="003D5B7D"/>
    <w:rsid w:val="003D66B9"/>
    <w:rsid w:val="003E2BB4"/>
    <w:rsid w:val="003E752D"/>
    <w:rsid w:val="0040309F"/>
    <w:rsid w:val="0041038A"/>
    <w:rsid w:val="00412341"/>
    <w:rsid w:val="00417AF4"/>
    <w:rsid w:val="00433B00"/>
    <w:rsid w:val="00451BAD"/>
    <w:rsid w:val="00461D2E"/>
    <w:rsid w:val="004775B4"/>
    <w:rsid w:val="00484505"/>
    <w:rsid w:val="004A63BC"/>
    <w:rsid w:val="004D690F"/>
    <w:rsid w:val="004F0F5B"/>
    <w:rsid w:val="004F3282"/>
    <w:rsid w:val="0056691C"/>
    <w:rsid w:val="0058361D"/>
    <w:rsid w:val="0058607B"/>
    <w:rsid w:val="00587975"/>
    <w:rsid w:val="005B30DC"/>
    <w:rsid w:val="005C02F9"/>
    <w:rsid w:val="005C3750"/>
    <w:rsid w:val="005F5435"/>
    <w:rsid w:val="006101EC"/>
    <w:rsid w:val="006160E6"/>
    <w:rsid w:val="0062431E"/>
    <w:rsid w:val="00632532"/>
    <w:rsid w:val="0063711E"/>
    <w:rsid w:val="006402ED"/>
    <w:rsid w:val="00645934"/>
    <w:rsid w:val="00651484"/>
    <w:rsid w:val="006557F2"/>
    <w:rsid w:val="00664234"/>
    <w:rsid w:val="00670DE6"/>
    <w:rsid w:val="00684F6D"/>
    <w:rsid w:val="00693D6F"/>
    <w:rsid w:val="006A18A0"/>
    <w:rsid w:val="006A2730"/>
    <w:rsid w:val="006B19A8"/>
    <w:rsid w:val="006B52A6"/>
    <w:rsid w:val="006B7A8C"/>
    <w:rsid w:val="006E1560"/>
    <w:rsid w:val="006E51B5"/>
    <w:rsid w:val="00705B60"/>
    <w:rsid w:val="007152D8"/>
    <w:rsid w:val="007232D7"/>
    <w:rsid w:val="00734176"/>
    <w:rsid w:val="00740287"/>
    <w:rsid w:val="0074187D"/>
    <w:rsid w:val="00766B98"/>
    <w:rsid w:val="00767FB1"/>
    <w:rsid w:val="00771A11"/>
    <w:rsid w:val="0077280A"/>
    <w:rsid w:val="007A1B04"/>
    <w:rsid w:val="007A2397"/>
    <w:rsid w:val="007B154C"/>
    <w:rsid w:val="007D0452"/>
    <w:rsid w:val="007E11F2"/>
    <w:rsid w:val="007F1418"/>
    <w:rsid w:val="007F33F4"/>
    <w:rsid w:val="00801571"/>
    <w:rsid w:val="0080730C"/>
    <w:rsid w:val="00816CB2"/>
    <w:rsid w:val="008225D9"/>
    <w:rsid w:val="008239D7"/>
    <w:rsid w:val="008267C8"/>
    <w:rsid w:val="00831274"/>
    <w:rsid w:val="00856B46"/>
    <w:rsid w:val="0086153A"/>
    <w:rsid w:val="00867520"/>
    <w:rsid w:val="00880709"/>
    <w:rsid w:val="00881E9E"/>
    <w:rsid w:val="008927A8"/>
    <w:rsid w:val="008A10FD"/>
    <w:rsid w:val="008B12DC"/>
    <w:rsid w:val="008B35B3"/>
    <w:rsid w:val="008B4A65"/>
    <w:rsid w:val="008C7F08"/>
    <w:rsid w:val="008D45E7"/>
    <w:rsid w:val="008E0AA9"/>
    <w:rsid w:val="008E340F"/>
    <w:rsid w:val="0090248E"/>
    <w:rsid w:val="00903D40"/>
    <w:rsid w:val="009163CD"/>
    <w:rsid w:val="00926975"/>
    <w:rsid w:val="00933DC2"/>
    <w:rsid w:val="00934E63"/>
    <w:rsid w:val="009479F6"/>
    <w:rsid w:val="00952615"/>
    <w:rsid w:val="00955FE7"/>
    <w:rsid w:val="0095725A"/>
    <w:rsid w:val="009660D2"/>
    <w:rsid w:val="00971693"/>
    <w:rsid w:val="00975FCA"/>
    <w:rsid w:val="00994232"/>
    <w:rsid w:val="00996C63"/>
    <w:rsid w:val="009A0CEA"/>
    <w:rsid w:val="009A1605"/>
    <w:rsid w:val="009A7CFF"/>
    <w:rsid w:val="009B110B"/>
    <w:rsid w:val="009B6078"/>
    <w:rsid w:val="009B6253"/>
    <w:rsid w:val="009C279C"/>
    <w:rsid w:val="009D1FA5"/>
    <w:rsid w:val="009D6AAE"/>
    <w:rsid w:val="009D6D5B"/>
    <w:rsid w:val="009F315C"/>
    <w:rsid w:val="009F7DEE"/>
    <w:rsid w:val="00A32826"/>
    <w:rsid w:val="00A33593"/>
    <w:rsid w:val="00A57A1B"/>
    <w:rsid w:val="00A64F9E"/>
    <w:rsid w:val="00A6727E"/>
    <w:rsid w:val="00A767AE"/>
    <w:rsid w:val="00A81222"/>
    <w:rsid w:val="00A9186E"/>
    <w:rsid w:val="00AC6B21"/>
    <w:rsid w:val="00AD051A"/>
    <w:rsid w:val="00AD3F7F"/>
    <w:rsid w:val="00AE6B45"/>
    <w:rsid w:val="00AE795D"/>
    <w:rsid w:val="00B00BB1"/>
    <w:rsid w:val="00B407EF"/>
    <w:rsid w:val="00B44D18"/>
    <w:rsid w:val="00B649D8"/>
    <w:rsid w:val="00B73838"/>
    <w:rsid w:val="00B75077"/>
    <w:rsid w:val="00B75FFB"/>
    <w:rsid w:val="00B8155E"/>
    <w:rsid w:val="00BA4B21"/>
    <w:rsid w:val="00BB74BA"/>
    <w:rsid w:val="00BB7851"/>
    <w:rsid w:val="00BC0F7B"/>
    <w:rsid w:val="00BC3678"/>
    <w:rsid w:val="00BC6D8A"/>
    <w:rsid w:val="00BD1CCB"/>
    <w:rsid w:val="00BE16FF"/>
    <w:rsid w:val="00BF21C2"/>
    <w:rsid w:val="00C1715E"/>
    <w:rsid w:val="00C360E5"/>
    <w:rsid w:val="00C437EF"/>
    <w:rsid w:val="00C54CA1"/>
    <w:rsid w:val="00C624F1"/>
    <w:rsid w:val="00C70676"/>
    <w:rsid w:val="00C71F90"/>
    <w:rsid w:val="00CA3D79"/>
    <w:rsid w:val="00CA60AB"/>
    <w:rsid w:val="00CB06A6"/>
    <w:rsid w:val="00CB7B5B"/>
    <w:rsid w:val="00CB7EF1"/>
    <w:rsid w:val="00CD0E66"/>
    <w:rsid w:val="00D064C8"/>
    <w:rsid w:val="00D06CA7"/>
    <w:rsid w:val="00D253FF"/>
    <w:rsid w:val="00D4011C"/>
    <w:rsid w:val="00D4259B"/>
    <w:rsid w:val="00D431C6"/>
    <w:rsid w:val="00D4673C"/>
    <w:rsid w:val="00D53862"/>
    <w:rsid w:val="00D61CFB"/>
    <w:rsid w:val="00D648C6"/>
    <w:rsid w:val="00D74EBF"/>
    <w:rsid w:val="00D87CFB"/>
    <w:rsid w:val="00DA0E85"/>
    <w:rsid w:val="00DA775D"/>
    <w:rsid w:val="00DC4C5B"/>
    <w:rsid w:val="00DF6850"/>
    <w:rsid w:val="00E1352E"/>
    <w:rsid w:val="00E339BE"/>
    <w:rsid w:val="00E42C36"/>
    <w:rsid w:val="00E4770B"/>
    <w:rsid w:val="00E57FAA"/>
    <w:rsid w:val="00E619D1"/>
    <w:rsid w:val="00E741A8"/>
    <w:rsid w:val="00E917CB"/>
    <w:rsid w:val="00EB4C14"/>
    <w:rsid w:val="00EC293E"/>
    <w:rsid w:val="00EC5420"/>
    <w:rsid w:val="00EF1DF1"/>
    <w:rsid w:val="00EF4F3A"/>
    <w:rsid w:val="00EF54BC"/>
    <w:rsid w:val="00EF5BB1"/>
    <w:rsid w:val="00F076DE"/>
    <w:rsid w:val="00F261CB"/>
    <w:rsid w:val="00F272F2"/>
    <w:rsid w:val="00F3096B"/>
    <w:rsid w:val="00F31DF3"/>
    <w:rsid w:val="00F32D24"/>
    <w:rsid w:val="00F35D42"/>
    <w:rsid w:val="00F4539D"/>
    <w:rsid w:val="00F53A59"/>
    <w:rsid w:val="00F75AE9"/>
    <w:rsid w:val="00F76248"/>
    <w:rsid w:val="00F82BEC"/>
    <w:rsid w:val="00F83BF1"/>
    <w:rsid w:val="00F94EE6"/>
    <w:rsid w:val="00FA4BE3"/>
    <w:rsid w:val="00FE01B6"/>
    <w:rsid w:val="00FE1407"/>
    <w:rsid w:val="00FF644F"/>
    <w:rsid w:val="478F5C3F"/>
    <w:rsid w:val="7CD6D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782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A5"/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FA5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9D1F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FA5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1FA5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FA5"/>
    <w:rPr>
      <w:rFonts w:ascii="Calibri" w:eastAsia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9D1FA5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D1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1FA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9D1FA5"/>
    <w:pPr>
      <w:spacing w:after="0" w:line="240" w:lineRule="auto"/>
    </w:pPr>
    <w:rPr>
      <w:rFonts w:ascii="Calibri" w:eastAsia="Calibri" w:hAnsi="Calibri" w:cs="Calibri"/>
      <w:kern w:val="0"/>
    </w:rPr>
  </w:style>
  <w:style w:type="paragraph" w:styleId="Header">
    <w:name w:val="header"/>
    <w:basedOn w:val="Normal"/>
    <w:link w:val="HeaderChar"/>
    <w:uiPriority w:val="99"/>
    <w:semiHidden/>
    <w:unhideWhenUsed/>
    <w:rsid w:val="00F3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DF3"/>
    <w:rPr>
      <w:rFonts w:ascii="Calibri" w:eastAsia="Calibri" w:hAnsi="Calibri" w:cs="Calibri"/>
      <w:kern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4F1"/>
    <w:pPr>
      <w:widowControl/>
      <w:spacing w:after="16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4F1"/>
    <w:rPr>
      <w:rFonts w:ascii="Calibri" w:eastAsia="Calibri" w:hAnsi="Calibri" w:cs="Calibri"/>
      <w:b/>
      <w:bCs/>
      <w:kern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6D8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ol.gov/ofccp/contacts/regkeyp.ht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OFCCP-Public@dol.gov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l.gov/whd/contact_us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eeoc.gov/field/index.cf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eeoc.gov/employees/howtofile.cf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Links>
    <vt:vector size="30" baseType="variant"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https://www.dol.gov/ofccp/contacts/regkeyp.htm</vt:lpwstr>
      </vt:variant>
      <vt:variant>
        <vt:lpwstr/>
      </vt:variant>
      <vt:variant>
        <vt:i4>721015</vt:i4>
      </vt:variant>
      <vt:variant>
        <vt:i4>9</vt:i4>
      </vt:variant>
      <vt:variant>
        <vt:i4>0</vt:i4>
      </vt:variant>
      <vt:variant>
        <vt:i4>5</vt:i4>
      </vt:variant>
      <vt:variant>
        <vt:lpwstr>mailto:OFCCP-Public@dol.gov</vt:lpwstr>
      </vt:variant>
      <vt:variant>
        <vt:lpwstr/>
      </vt:variant>
      <vt:variant>
        <vt:i4>393341</vt:i4>
      </vt:variant>
      <vt:variant>
        <vt:i4>6</vt:i4>
      </vt:variant>
      <vt:variant>
        <vt:i4>0</vt:i4>
      </vt:variant>
      <vt:variant>
        <vt:i4>5</vt:i4>
      </vt:variant>
      <vt:variant>
        <vt:lpwstr>https://dol.gov/whd/contact_us.htm</vt:lpwstr>
      </vt:variant>
      <vt:variant>
        <vt:lpwstr/>
      </vt:variant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https://www.eeoc.gov/field/index.cfm</vt:lpwstr>
      </vt:variant>
      <vt:variant>
        <vt:lpwstr/>
      </vt:variant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https://www.eeoc.gov/employees/howtofile.cfm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2024-06-07T20:32:00Z</dcterms:created>
  <dcterms:modified xsi:type="dcterms:W3CDTF">2024-06-07T20:35:00Z</dcterms:modified>
</cp:coreProperties>
</file>